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ascii="黑体" w:hAnsi="黑体" w:eastAsia="黑体"/>
          <w:sz w:val="24"/>
        </w:rPr>
      </w:pPr>
    </w:p>
    <w:p>
      <w:pPr>
        <w:jc w:val="center"/>
        <w:rPr>
          <w:rFonts w:hint="eastAsia" w:ascii="华文新魏" w:hAnsi="华文新魏" w:eastAsia="华文新魏" w:cs="华文新魏"/>
          <w:b/>
          <w:bCs/>
          <w:sz w:val="44"/>
          <w:szCs w:val="44"/>
        </w:rPr>
      </w:pPr>
      <w:r>
        <w:rPr>
          <w:rFonts w:hint="eastAsia" w:ascii="华文新魏" w:hAnsi="华文新魏" w:eastAsia="华文新魏" w:cs="华文新魏"/>
          <w:b/>
          <w:bCs/>
          <w:sz w:val="44"/>
          <w:szCs w:val="44"/>
        </w:rPr>
        <w:t>第</w:t>
      </w:r>
      <w:r>
        <w:rPr>
          <w:rFonts w:hint="eastAsia" w:ascii="华文新魏" w:hAnsi="华文新魏" w:eastAsia="华文新魏" w:cs="华文新魏"/>
          <w:b/>
          <w:bCs/>
          <w:sz w:val="44"/>
          <w:szCs w:val="44"/>
          <w:lang w:eastAsia="zh-CN"/>
        </w:rPr>
        <w:t>三</w:t>
      </w:r>
      <w:r>
        <w:rPr>
          <w:rFonts w:hint="eastAsia" w:ascii="华文新魏" w:hAnsi="华文新魏" w:eastAsia="华文新魏" w:cs="华文新魏"/>
          <w:b/>
          <w:bCs/>
          <w:sz w:val="44"/>
          <w:szCs w:val="44"/>
        </w:rPr>
        <w:t>期</w:t>
      </w:r>
    </w:p>
    <w:p>
      <w:pPr>
        <w:jc w:val="center"/>
        <w:rPr>
          <w:rFonts w:hint="eastAsia" w:ascii="华文新魏" w:hAnsi="华文新魏" w:eastAsia="华文新魏" w:cs="华文新魏"/>
          <w:b/>
          <w:bCs/>
        </w:rPr>
      </w:pPr>
      <w:r>
        <w:rPr>
          <w:rFonts w:hint="eastAsia" w:ascii="华文新魏" w:hAnsi="华文新魏" w:eastAsia="华文新魏" w:cs="华文新魏"/>
          <w:b/>
          <w:bCs/>
          <w:sz w:val="44"/>
          <w:szCs w:val="44"/>
        </w:rPr>
        <w:t>（总第11</w:t>
      </w:r>
      <w:r>
        <w:rPr>
          <w:rFonts w:hint="eastAsia" w:ascii="华文新魏" w:hAnsi="华文新魏" w:eastAsia="华文新魏" w:cs="华文新魏"/>
          <w:b/>
          <w:bCs/>
          <w:sz w:val="44"/>
          <w:szCs w:val="44"/>
          <w:lang w:val="en-US" w:eastAsia="zh-CN"/>
        </w:rPr>
        <w:t>6</w:t>
      </w:r>
      <w:r>
        <w:rPr>
          <w:rFonts w:hint="eastAsia" w:ascii="华文新魏" w:hAnsi="华文新魏" w:eastAsia="华文新魏" w:cs="华文新魏"/>
          <w:b/>
          <w:bCs/>
          <w:sz w:val="44"/>
          <w:szCs w:val="44"/>
        </w:rPr>
        <w:t>期）</w:t>
      </w:r>
    </w:p>
    <w:p>
      <w:pPr>
        <w:jc w:val="right"/>
        <w:rPr>
          <w:rFonts w:hint="eastAsia" w:ascii="汉鼎简魏碑" w:hAnsi="黑体" w:eastAsia="汉鼎简魏碑"/>
          <w:b/>
          <w:bCs/>
          <w:sz w:val="36"/>
          <w:szCs w:val="36"/>
        </w:rPr>
      </w:pPr>
      <w:r>
        <w:rPr>
          <w:rFonts w:hint="eastAsia" w:ascii="汉鼎简魏碑" w:hAnsi="黑体" w:eastAsia="黑体"/>
        </w:rPr>
        <w:t>　　　　　　</w:t>
      </w:r>
      <w:r>
        <w:rPr>
          <w:rFonts w:hint="eastAsia" w:ascii="汉鼎简魏碑" w:hAnsi="黑体" w:eastAsia="汉鼎简魏碑"/>
        </w:rPr>
        <w:t xml:space="preserve">                 </w:t>
      </w:r>
      <w:r>
        <w:rPr>
          <w:rFonts w:hint="eastAsia" w:ascii="汉鼎简魏碑" w:hAnsi="黑体" w:eastAsia="黑体"/>
        </w:rPr>
        <w:t>　　</w:t>
      </w:r>
      <w:r>
        <w:rPr>
          <w:rFonts w:hint="eastAsia" w:ascii="汉鼎简魏碑" w:hAnsi="黑体" w:eastAsia="黑体"/>
          <w:sz w:val="36"/>
          <w:szCs w:val="36"/>
        </w:rPr>
        <w:t>　</w:t>
      </w:r>
      <w:r>
        <w:rPr>
          <w:rFonts w:hint="eastAsia" w:ascii="华文新魏" w:hAnsi="华文新魏" w:eastAsia="华文新魏" w:cs="华文新魏"/>
          <w:b w:val="0"/>
          <w:bCs w:val="0"/>
          <w:sz w:val="36"/>
          <w:szCs w:val="36"/>
        </w:rPr>
        <w:t>二○一九年</w:t>
      </w:r>
      <w:r>
        <w:rPr>
          <w:rFonts w:hint="eastAsia" w:ascii="华文新魏" w:hAnsi="华文新魏" w:eastAsia="华文新魏" w:cs="华文新魏"/>
          <w:b w:val="0"/>
          <w:bCs w:val="0"/>
          <w:sz w:val="36"/>
          <w:szCs w:val="36"/>
          <w:lang w:eastAsia="zh-CN"/>
        </w:rPr>
        <w:t>六</w:t>
      </w:r>
      <w:r>
        <w:rPr>
          <w:rFonts w:hint="eastAsia" w:ascii="华文新魏" w:hAnsi="华文新魏" w:eastAsia="华文新魏" w:cs="华文新魏"/>
          <w:b w:val="0"/>
          <w:bCs w:val="0"/>
          <w:sz w:val="36"/>
          <w:szCs w:val="36"/>
        </w:rPr>
        <w:t>月二十八日</w:t>
      </w:r>
    </w:p>
    <w:p>
      <w:pPr>
        <w:rPr>
          <w:rFonts w:hint="eastAsia"/>
          <w:sz w:val="28"/>
          <w:szCs w:val="28"/>
        </w:rPr>
      </w:pPr>
    </w:p>
    <w:p>
      <w:pPr>
        <w:jc w:val="center"/>
        <w:rPr>
          <w:rFonts w:hint="eastAsia" w:ascii="黑体" w:hAnsi="黑体" w:eastAsia="黑体"/>
          <w:sz w:val="44"/>
          <w:szCs w:val="44"/>
        </w:rPr>
      </w:pPr>
      <w:r>
        <w:rPr>
          <w:rFonts w:hint="eastAsia" w:ascii="黑体" w:hAnsi="黑体" w:eastAsia="黑体"/>
          <w:sz w:val="44"/>
          <w:szCs w:val="44"/>
        </w:rPr>
        <w:t>目　　录</w:t>
      </w:r>
    </w:p>
    <w:p>
      <w:pPr>
        <w:jc w:val="center"/>
        <w:rPr>
          <w:rFonts w:hint="eastAsia" w:ascii="新宋体" w:hAnsi="新宋体" w:eastAsia="新宋体"/>
          <w:b/>
          <w:sz w:val="36"/>
          <w:szCs w:val="36"/>
        </w:rPr>
      </w:pPr>
    </w:p>
    <w:p>
      <w:pPr>
        <w:spacing w:line="600" w:lineRule="exact"/>
        <w:rPr>
          <w:rFonts w:hint="eastAsia" w:ascii="黑体" w:hAnsi="黑体" w:eastAsia="黑体"/>
          <w:sz w:val="28"/>
          <w:szCs w:val="28"/>
          <w:lang w:eastAsia="zh-CN"/>
        </w:rPr>
      </w:pPr>
      <w:r>
        <w:rPr>
          <w:rFonts w:hint="eastAsia" w:ascii="黑体" w:hAnsi="黑体" w:eastAsia="黑体"/>
          <w:sz w:val="28"/>
          <w:szCs w:val="28"/>
        </w:rPr>
        <w:t>●</w:t>
      </w:r>
      <w:r>
        <w:rPr>
          <w:rFonts w:hint="eastAsia" w:ascii="黑体" w:hAnsi="黑体" w:eastAsia="黑体"/>
          <w:sz w:val="28"/>
          <w:szCs w:val="28"/>
          <w:lang w:eastAsia="zh-CN"/>
        </w:rPr>
        <w:t>协会动态</w:t>
      </w:r>
    </w:p>
    <w:p>
      <w:pPr>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区商务厅领导在广西拍卖行业协会第四届第四次会员大会上的讲话</w:t>
      </w:r>
    </w:p>
    <w:p>
      <w:pPr>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........................................................（3）</w:t>
      </w:r>
    </w:p>
    <w:p>
      <w:pPr>
        <w:rPr>
          <w:rFonts w:hint="eastAsia" w:ascii="仿宋_GB2312" w:eastAsia="仿宋_GB2312"/>
          <w:sz w:val="28"/>
          <w:szCs w:val="28"/>
          <w:lang w:eastAsia="zh-CN"/>
        </w:rPr>
      </w:pPr>
      <w:r>
        <w:rPr>
          <w:rFonts w:hint="eastAsia" w:ascii="仿宋_GB2312" w:eastAsia="仿宋_GB2312"/>
          <w:sz w:val="28"/>
          <w:szCs w:val="28"/>
        </w:rPr>
        <w:t>△</w:t>
      </w:r>
      <w:r>
        <w:rPr>
          <w:rFonts w:hint="eastAsia" w:ascii="仿宋_GB2312" w:eastAsia="仿宋_GB2312"/>
          <w:sz w:val="28"/>
          <w:szCs w:val="28"/>
          <w:lang w:eastAsia="zh-CN"/>
        </w:rPr>
        <w:t>广西拍卖行业协会四届五次理事会暨四届五次常务理事会会议纪要</w:t>
      </w:r>
    </w:p>
    <w:p>
      <w:pPr>
        <w:rPr>
          <w:rFonts w:hint="default" w:ascii="仿宋_GB2312" w:eastAsia="仿宋_GB2312"/>
          <w:sz w:val="28"/>
          <w:szCs w:val="28"/>
          <w:lang w:val="en-US" w:eastAsia="zh-CN"/>
        </w:rPr>
      </w:pPr>
      <w:r>
        <w:rPr>
          <w:rFonts w:hint="eastAsia" w:ascii="仿宋_GB2312" w:eastAsia="仿宋_GB2312"/>
          <w:sz w:val="28"/>
          <w:szCs w:val="28"/>
          <w:lang w:val="en-US" w:eastAsia="zh-CN"/>
        </w:rPr>
        <w:t xml:space="preserve">  .......................................................（5）</w:t>
      </w:r>
    </w:p>
    <w:p>
      <w:pPr>
        <w:rPr>
          <w:rFonts w:hint="eastAsia" w:ascii="仿宋_GB2312" w:eastAsia="仿宋_GB2312"/>
          <w:sz w:val="28"/>
          <w:szCs w:val="28"/>
          <w:lang w:eastAsia="zh-CN"/>
        </w:rPr>
      </w:pPr>
      <w:r>
        <w:rPr>
          <w:rFonts w:hint="eastAsia" w:ascii="仿宋_GB2312" w:eastAsia="仿宋_GB2312"/>
          <w:sz w:val="28"/>
          <w:szCs w:val="28"/>
        </w:rPr>
        <w:t>△</w:t>
      </w:r>
      <w:r>
        <w:rPr>
          <w:rFonts w:hint="eastAsia" w:ascii="仿宋_GB2312" w:eastAsia="仿宋_GB2312"/>
          <w:sz w:val="28"/>
          <w:szCs w:val="28"/>
          <w:lang w:eastAsia="zh-CN"/>
        </w:rPr>
        <w:t>广西拍卖行业协会四届四次会员年会会议纪要</w:t>
      </w:r>
      <w:r>
        <w:rPr>
          <w:rFonts w:hint="eastAsia" w:ascii="仿宋_GB2312" w:eastAsia="仿宋_GB2312"/>
          <w:sz w:val="28"/>
          <w:szCs w:val="28"/>
          <w:lang w:val="en-US" w:eastAsia="zh-CN"/>
        </w:rPr>
        <w:t>...............</w:t>
      </w:r>
      <w:r>
        <w:rPr>
          <w:rFonts w:hint="eastAsia" w:ascii="仿宋_GB2312" w:eastAsia="仿宋_GB2312"/>
          <w:sz w:val="28"/>
          <w:szCs w:val="28"/>
          <w:lang w:eastAsia="zh-CN"/>
        </w:rPr>
        <w:t>（</w:t>
      </w:r>
      <w:r>
        <w:rPr>
          <w:rFonts w:hint="eastAsia" w:ascii="仿宋_GB2312" w:eastAsia="仿宋_GB2312"/>
          <w:sz w:val="28"/>
          <w:szCs w:val="28"/>
          <w:lang w:val="en-US" w:eastAsia="zh-CN"/>
        </w:rPr>
        <w:t>6</w:t>
      </w:r>
      <w:r>
        <w:rPr>
          <w:rFonts w:hint="eastAsia" w:ascii="仿宋_GB2312" w:eastAsia="仿宋_GB2312"/>
          <w:sz w:val="28"/>
          <w:szCs w:val="28"/>
          <w:lang w:eastAsia="zh-CN"/>
        </w:rPr>
        <w:t>）</w:t>
      </w:r>
    </w:p>
    <w:p>
      <w:pPr>
        <w:rPr>
          <w:rFonts w:hint="eastAsia" w:ascii="仿宋_GB2312" w:eastAsia="仿宋_GB2312"/>
          <w:sz w:val="28"/>
          <w:szCs w:val="28"/>
          <w:lang w:val="en-US" w:eastAsia="zh-CN"/>
        </w:rPr>
      </w:pPr>
      <w:r>
        <w:rPr>
          <w:rFonts w:hint="eastAsia" w:ascii="仿宋_GB2312" w:eastAsia="仿宋_GB2312"/>
          <w:sz w:val="28"/>
          <w:szCs w:val="28"/>
        </w:rPr>
        <w:t>△</w:t>
      </w:r>
      <w:r>
        <w:rPr>
          <w:rFonts w:hint="eastAsia" w:ascii="仿宋_GB2312" w:eastAsia="仿宋_GB2312"/>
          <w:sz w:val="28"/>
          <w:szCs w:val="28"/>
          <w:lang w:val="en-US" w:eastAsia="zh-CN"/>
        </w:rPr>
        <w:t>2019年一季度全区拍卖企业经营情况......................（9）</w:t>
      </w:r>
    </w:p>
    <w:p>
      <w:pPr>
        <w:rPr>
          <w:rFonts w:hint="eastAsia" w:ascii="仿宋_GB2312" w:eastAsia="仿宋_GB2312"/>
          <w:sz w:val="28"/>
          <w:szCs w:val="28"/>
          <w:lang w:eastAsia="zh-CN"/>
        </w:rPr>
      </w:pPr>
      <w:r>
        <w:rPr>
          <w:rFonts w:hint="eastAsia" w:ascii="仿宋_GB2312" w:eastAsia="仿宋_GB2312"/>
          <w:sz w:val="28"/>
          <w:szCs w:val="28"/>
        </w:rPr>
        <w:t>△</w:t>
      </w:r>
      <w:r>
        <w:rPr>
          <w:rFonts w:hint="eastAsia" w:ascii="仿宋_GB2312" w:eastAsia="仿宋_GB2312"/>
          <w:sz w:val="28"/>
          <w:szCs w:val="28"/>
          <w:lang w:eastAsia="zh-CN"/>
        </w:rPr>
        <w:t>广西拍卖行业协会关于常务理事、理事单位调整为会员单位的通知</w:t>
      </w:r>
    </w:p>
    <w:p>
      <w:pPr>
        <w:rPr>
          <w:rFonts w:hint="default" w:ascii="仿宋_GB2312" w:eastAsia="仿宋_GB2312"/>
          <w:sz w:val="28"/>
          <w:szCs w:val="28"/>
          <w:lang w:val="en-US" w:eastAsia="zh-CN"/>
        </w:rPr>
      </w:pPr>
      <w:r>
        <w:rPr>
          <w:rFonts w:hint="eastAsia" w:ascii="仿宋_GB2312" w:eastAsia="仿宋_GB2312"/>
          <w:sz w:val="28"/>
          <w:szCs w:val="28"/>
          <w:lang w:val="en-US" w:eastAsia="zh-CN"/>
        </w:rPr>
        <w:t xml:space="preserve"> .......................................................（15）</w:t>
      </w:r>
    </w:p>
    <w:p>
      <w:pPr>
        <w:rPr>
          <w:rFonts w:hint="eastAsia" w:ascii="仿宋_GB2312" w:eastAsia="仿宋_GB2312"/>
          <w:sz w:val="28"/>
          <w:szCs w:val="28"/>
          <w:lang w:eastAsia="zh-CN"/>
        </w:rPr>
      </w:pPr>
      <w:r>
        <w:rPr>
          <w:rFonts w:hint="eastAsia" w:ascii="仿宋_GB2312" w:eastAsia="仿宋_GB2312"/>
          <w:sz w:val="28"/>
          <w:szCs w:val="28"/>
        </w:rPr>
        <w:t>△</w:t>
      </w:r>
      <w:r>
        <w:rPr>
          <w:rFonts w:hint="eastAsia" w:ascii="仿宋_GB2312" w:eastAsia="仿宋_GB2312"/>
          <w:sz w:val="28"/>
          <w:szCs w:val="28"/>
          <w:lang w:eastAsia="zh-CN"/>
        </w:rPr>
        <w:t>广西拍卖行业协会关于颁布新入会会员单位的通知</w:t>
      </w:r>
      <w:r>
        <w:rPr>
          <w:rFonts w:hint="eastAsia" w:ascii="仿宋_GB2312" w:eastAsia="仿宋_GB2312"/>
          <w:sz w:val="28"/>
          <w:szCs w:val="28"/>
          <w:lang w:val="en-US" w:eastAsia="zh-CN"/>
        </w:rPr>
        <w:t>..........</w:t>
      </w:r>
      <w:r>
        <w:rPr>
          <w:rFonts w:hint="eastAsia" w:ascii="仿宋_GB2312" w:eastAsia="仿宋_GB2312"/>
          <w:sz w:val="28"/>
          <w:szCs w:val="28"/>
          <w:lang w:eastAsia="zh-CN"/>
        </w:rPr>
        <w:t>（</w:t>
      </w:r>
      <w:r>
        <w:rPr>
          <w:rFonts w:hint="eastAsia" w:ascii="仿宋_GB2312" w:eastAsia="仿宋_GB2312"/>
          <w:sz w:val="28"/>
          <w:szCs w:val="28"/>
          <w:lang w:val="en-US" w:eastAsia="zh-CN"/>
        </w:rPr>
        <w:t>15</w:t>
      </w:r>
      <w:r>
        <w:rPr>
          <w:rFonts w:hint="eastAsia" w:ascii="仿宋_GB2312" w:eastAsia="仿宋_GB2312"/>
          <w:sz w:val="28"/>
          <w:szCs w:val="28"/>
          <w:lang w:eastAsia="zh-CN"/>
        </w:rPr>
        <w:t>）</w:t>
      </w:r>
    </w:p>
    <w:p>
      <w:pPr>
        <w:rPr>
          <w:rFonts w:hint="eastAsia" w:ascii="仿宋_GB2312" w:eastAsia="仿宋_GB2312"/>
          <w:sz w:val="28"/>
          <w:szCs w:val="28"/>
          <w:lang w:eastAsia="zh-CN"/>
        </w:rPr>
      </w:pPr>
      <w:r>
        <w:rPr>
          <w:rFonts w:hint="eastAsia" w:ascii="仿宋_GB2312" w:eastAsia="仿宋_GB2312"/>
          <w:sz w:val="28"/>
          <w:szCs w:val="28"/>
        </w:rPr>
        <w:t>△</w:t>
      </w:r>
      <w:r>
        <w:rPr>
          <w:rFonts w:hint="eastAsia" w:ascii="仿宋_GB2312" w:eastAsia="仿宋_GB2312"/>
          <w:sz w:val="28"/>
          <w:szCs w:val="28"/>
          <w:lang w:eastAsia="zh-CN"/>
        </w:rPr>
        <w:t>广西拍卖行业协会关于公布会员单位自动退会名单的通知</w:t>
      </w:r>
      <w:r>
        <w:rPr>
          <w:rFonts w:hint="eastAsia" w:ascii="仿宋_GB2312" w:eastAsia="仿宋_GB2312"/>
          <w:sz w:val="28"/>
          <w:szCs w:val="28"/>
          <w:lang w:val="en-US" w:eastAsia="zh-CN"/>
        </w:rPr>
        <w:t>....</w:t>
      </w:r>
      <w:r>
        <w:rPr>
          <w:rFonts w:hint="eastAsia" w:ascii="仿宋_GB2312" w:eastAsia="仿宋_GB2312"/>
          <w:sz w:val="28"/>
          <w:szCs w:val="28"/>
          <w:lang w:eastAsia="zh-CN"/>
        </w:rPr>
        <w:t>（</w:t>
      </w:r>
      <w:r>
        <w:rPr>
          <w:rFonts w:hint="eastAsia" w:ascii="仿宋_GB2312" w:eastAsia="仿宋_GB2312"/>
          <w:sz w:val="28"/>
          <w:szCs w:val="28"/>
          <w:lang w:val="en-US" w:eastAsia="zh-CN"/>
        </w:rPr>
        <w:t>16</w:t>
      </w:r>
      <w:r>
        <w:rPr>
          <w:rFonts w:hint="eastAsia" w:ascii="仿宋_GB2312" w:eastAsia="仿宋_GB2312"/>
          <w:sz w:val="28"/>
          <w:szCs w:val="28"/>
          <w:lang w:eastAsia="zh-CN"/>
        </w:rPr>
        <w:t>）</w:t>
      </w:r>
    </w:p>
    <w:p>
      <w:pPr>
        <w:rPr>
          <w:rFonts w:hint="eastAsia" w:ascii="仿宋_GB2312" w:eastAsia="仿宋_GB2312"/>
          <w:sz w:val="28"/>
          <w:szCs w:val="28"/>
          <w:lang w:eastAsia="zh-CN"/>
        </w:rPr>
      </w:pPr>
      <w:r>
        <w:rPr>
          <w:rFonts w:hint="eastAsia" w:ascii="仿宋_GB2312" w:hAnsi="宋体" w:eastAsia="仿宋_GB2312" w:cs="宋体"/>
          <w:sz w:val="28"/>
          <w:szCs w:val="28"/>
        </w:rPr>
        <w:t>△</w:t>
      </w:r>
      <w:r>
        <w:rPr>
          <w:rFonts w:hint="eastAsia" w:ascii="仿宋_GB2312" w:eastAsia="仿宋_GB2312"/>
          <w:sz w:val="28"/>
          <w:szCs w:val="28"/>
          <w:lang w:eastAsia="zh-CN"/>
        </w:rPr>
        <w:t>广西拍卖行业协会关于表彰创新企业的决定</w:t>
      </w:r>
      <w:r>
        <w:rPr>
          <w:rFonts w:hint="eastAsia" w:ascii="仿宋_GB2312" w:eastAsia="仿宋_GB2312"/>
          <w:sz w:val="28"/>
          <w:szCs w:val="28"/>
          <w:lang w:val="en-US" w:eastAsia="zh-CN"/>
        </w:rPr>
        <w:t>................</w:t>
      </w:r>
      <w:r>
        <w:rPr>
          <w:rFonts w:hint="eastAsia" w:ascii="仿宋_GB2312" w:eastAsia="仿宋_GB2312"/>
          <w:sz w:val="28"/>
          <w:szCs w:val="28"/>
          <w:lang w:eastAsia="zh-CN"/>
        </w:rPr>
        <w:t>（</w:t>
      </w:r>
      <w:r>
        <w:rPr>
          <w:rFonts w:hint="eastAsia" w:ascii="仿宋_GB2312" w:eastAsia="仿宋_GB2312"/>
          <w:sz w:val="28"/>
          <w:szCs w:val="28"/>
          <w:lang w:val="en-US" w:eastAsia="zh-CN"/>
        </w:rPr>
        <w:t>17</w:t>
      </w:r>
      <w:r>
        <w:rPr>
          <w:rFonts w:hint="eastAsia" w:ascii="仿宋_GB2312" w:eastAsia="仿宋_GB2312"/>
          <w:sz w:val="28"/>
          <w:szCs w:val="28"/>
          <w:lang w:eastAsia="zh-CN"/>
        </w:rPr>
        <w:t>）</w:t>
      </w:r>
    </w:p>
    <w:p>
      <w:pPr>
        <w:rPr>
          <w:rFonts w:hint="eastAsia" w:ascii="仿宋_GB2312" w:eastAsia="仿宋_GB2312"/>
          <w:sz w:val="28"/>
          <w:szCs w:val="28"/>
          <w:lang w:eastAsia="zh-CN"/>
        </w:rPr>
      </w:pPr>
      <w:r>
        <w:rPr>
          <w:rFonts w:hint="eastAsia" w:ascii="仿宋_GB2312" w:hAnsi="宋体" w:eastAsia="仿宋_GB2312" w:cs="宋体"/>
          <w:sz w:val="28"/>
          <w:szCs w:val="28"/>
        </w:rPr>
        <w:t>△</w:t>
      </w:r>
      <w:r>
        <w:rPr>
          <w:rFonts w:hint="eastAsia" w:ascii="仿宋_GB2312" w:eastAsia="仿宋_GB2312"/>
          <w:sz w:val="28"/>
          <w:szCs w:val="28"/>
          <w:lang w:eastAsia="zh-CN"/>
        </w:rPr>
        <w:t>广西拍卖行业协会关于表彰优秀企业家的决定</w:t>
      </w:r>
      <w:r>
        <w:rPr>
          <w:rFonts w:hint="eastAsia" w:ascii="仿宋_GB2312" w:eastAsia="仿宋_GB2312"/>
          <w:sz w:val="28"/>
          <w:szCs w:val="28"/>
          <w:lang w:val="en-US" w:eastAsia="zh-CN"/>
        </w:rPr>
        <w:t>..............</w:t>
      </w:r>
      <w:r>
        <w:rPr>
          <w:rFonts w:hint="eastAsia" w:ascii="仿宋_GB2312" w:eastAsia="仿宋_GB2312"/>
          <w:sz w:val="28"/>
          <w:szCs w:val="28"/>
          <w:lang w:eastAsia="zh-CN"/>
        </w:rPr>
        <w:t>（</w:t>
      </w:r>
      <w:r>
        <w:rPr>
          <w:rFonts w:hint="eastAsia" w:ascii="仿宋_GB2312" w:eastAsia="仿宋_GB2312"/>
          <w:sz w:val="28"/>
          <w:szCs w:val="28"/>
          <w:lang w:val="en-US" w:eastAsia="zh-CN"/>
        </w:rPr>
        <w:t>17</w:t>
      </w:r>
      <w:r>
        <w:rPr>
          <w:rFonts w:hint="eastAsia" w:ascii="仿宋_GB2312" w:eastAsia="仿宋_GB2312"/>
          <w:sz w:val="28"/>
          <w:szCs w:val="28"/>
          <w:lang w:eastAsia="zh-CN"/>
        </w:rPr>
        <w:t>）</w:t>
      </w:r>
    </w:p>
    <w:p>
      <w:pPr>
        <w:spacing w:line="580" w:lineRule="exact"/>
        <w:rPr>
          <w:rFonts w:hint="eastAsia" w:ascii="仿宋_GB2312" w:hAnsi="黑体" w:eastAsia="仿宋_GB2312"/>
          <w:sz w:val="28"/>
          <w:szCs w:val="28"/>
          <w:lang w:eastAsia="zh-CN"/>
        </w:rPr>
      </w:pPr>
      <w:r>
        <w:rPr>
          <w:rFonts w:hint="eastAsia" w:ascii="仿宋_GB2312" w:hAnsi="宋体" w:eastAsia="仿宋_GB2312" w:cs="宋体"/>
          <w:sz w:val="28"/>
          <w:szCs w:val="28"/>
        </w:rPr>
        <w:t>△</w:t>
      </w:r>
      <w:r>
        <w:rPr>
          <w:rFonts w:hint="eastAsia" w:ascii="仿宋_GB2312" w:hAnsi="黑体" w:eastAsia="仿宋_GB2312"/>
          <w:sz w:val="28"/>
          <w:szCs w:val="28"/>
        </w:rPr>
        <w:t>201</w:t>
      </w:r>
      <w:r>
        <w:rPr>
          <w:rFonts w:hint="eastAsia" w:ascii="仿宋_GB2312" w:hAnsi="黑体" w:eastAsia="仿宋_GB2312"/>
          <w:sz w:val="28"/>
          <w:szCs w:val="28"/>
          <w:lang w:val="en-US" w:eastAsia="zh-CN"/>
        </w:rPr>
        <w:t>8</w:t>
      </w:r>
      <w:r>
        <w:rPr>
          <w:rFonts w:hint="eastAsia" w:ascii="仿宋_GB2312" w:hAnsi="黑体" w:eastAsia="仿宋_GB2312"/>
          <w:sz w:val="28"/>
          <w:szCs w:val="28"/>
        </w:rPr>
        <w:t>年度广西先进拍卖企业名单</w:t>
      </w:r>
      <w:r>
        <w:rPr>
          <w:rFonts w:hint="eastAsia" w:ascii="仿宋_GB2312" w:hAnsi="黑体" w:eastAsia="仿宋_GB2312"/>
          <w:sz w:val="28"/>
          <w:szCs w:val="28"/>
          <w:lang w:val="en-US" w:eastAsia="zh-CN"/>
        </w:rPr>
        <w:t>.........................</w:t>
      </w:r>
      <w:r>
        <w:rPr>
          <w:rFonts w:hint="eastAsia" w:ascii="仿宋_GB2312" w:hAnsi="黑体" w:eastAsia="仿宋_GB2312"/>
          <w:sz w:val="28"/>
          <w:szCs w:val="28"/>
          <w:lang w:eastAsia="zh-CN"/>
        </w:rPr>
        <w:t>（</w:t>
      </w:r>
      <w:r>
        <w:rPr>
          <w:rFonts w:hint="eastAsia" w:ascii="仿宋_GB2312" w:hAnsi="黑体" w:eastAsia="仿宋_GB2312"/>
          <w:sz w:val="28"/>
          <w:szCs w:val="28"/>
          <w:lang w:val="en-US" w:eastAsia="zh-CN"/>
        </w:rPr>
        <w:t>18</w:t>
      </w:r>
      <w:r>
        <w:rPr>
          <w:rFonts w:hint="eastAsia" w:ascii="仿宋_GB2312" w:hAnsi="黑体" w:eastAsia="仿宋_GB2312"/>
          <w:sz w:val="28"/>
          <w:szCs w:val="28"/>
          <w:lang w:eastAsia="zh-CN"/>
        </w:rPr>
        <w:t>）</w:t>
      </w:r>
    </w:p>
    <w:p>
      <w:pPr>
        <w:rPr>
          <w:rFonts w:hint="eastAsia" w:ascii="仿宋_GB2312" w:hAnsi="黑体" w:eastAsia="仿宋_GB2312"/>
          <w:sz w:val="28"/>
          <w:szCs w:val="28"/>
          <w:lang w:eastAsia="zh-CN"/>
        </w:rPr>
      </w:pPr>
      <w:r>
        <w:rPr>
          <w:rFonts w:hint="eastAsia" w:ascii="仿宋_GB2312" w:hAnsi="宋体" w:eastAsia="仿宋_GB2312" w:cs="宋体"/>
          <w:sz w:val="28"/>
          <w:szCs w:val="28"/>
        </w:rPr>
        <w:t>△</w:t>
      </w:r>
      <w:r>
        <w:rPr>
          <w:rFonts w:hint="eastAsia" w:ascii="仿宋_GB2312" w:hAnsi="黑体" w:eastAsia="仿宋_GB2312"/>
          <w:sz w:val="28"/>
          <w:szCs w:val="28"/>
        </w:rPr>
        <w:t>201</w:t>
      </w:r>
      <w:r>
        <w:rPr>
          <w:rFonts w:hint="eastAsia" w:ascii="仿宋_GB2312" w:hAnsi="黑体" w:eastAsia="仿宋_GB2312"/>
          <w:sz w:val="28"/>
          <w:szCs w:val="28"/>
          <w:lang w:val="en-US" w:eastAsia="zh-CN"/>
        </w:rPr>
        <w:t>8</w:t>
      </w:r>
      <w:r>
        <w:rPr>
          <w:rFonts w:hint="eastAsia" w:ascii="仿宋_GB2312" w:hAnsi="黑体" w:eastAsia="仿宋_GB2312"/>
          <w:sz w:val="28"/>
          <w:szCs w:val="28"/>
        </w:rPr>
        <w:t>年度广西拍卖行业统计工作先进单位名单</w:t>
      </w:r>
      <w:r>
        <w:rPr>
          <w:rFonts w:hint="eastAsia" w:ascii="仿宋_GB2312" w:hAnsi="黑体" w:eastAsia="仿宋_GB2312"/>
          <w:sz w:val="28"/>
          <w:szCs w:val="28"/>
          <w:lang w:val="en-US" w:eastAsia="zh-CN"/>
        </w:rPr>
        <w:t>.............</w:t>
      </w:r>
      <w:r>
        <w:rPr>
          <w:rFonts w:hint="eastAsia" w:ascii="仿宋_GB2312" w:hAnsi="黑体" w:eastAsia="仿宋_GB2312"/>
          <w:sz w:val="28"/>
          <w:szCs w:val="28"/>
          <w:lang w:eastAsia="zh-CN"/>
        </w:rPr>
        <w:t>（</w:t>
      </w:r>
      <w:r>
        <w:rPr>
          <w:rFonts w:hint="eastAsia" w:ascii="仿宋_GB2312" w:hAnsi="黑体" w:eastAsia="仿宋_GB2312"/>
          <w:sz w:val="28"/>
          <w:szCs w:val="28"/>
          <w:lang w:val="en-US" w:eastAsia="zh-CN"/>
        </w:rPr>
        <w:t>20</w:t>
      </w:r>
      <w:r>
        <w:rPr>
          <w:rFonts w:hint="eastAsia" w:ascii="仿宋_GB2312" w:hAnsi="黑体" w:eastAsia="仿宋_GB2312"/>
          <w:sz w:val="28"/>
          <w:szCs w:val="28"/>
          <w:lang w:eastAsia="zh-CN"/>
        </w:rPr>
        <w:t>）</w:t>
      </w:r>
    </w:p>
    <w:p>
      <w:pPr>
        <w:rPr>
          <w:rFonts w:hint="eastAsia" w:ascii="仿宋_GB2312" w:hAnsi="黑体" w:eastAsia="仿宋_GB2312"/>
          <w:sz w:val="28"/>
          <w:szCs w:val="28"/>
          <w:lang w:eastAsia="zh-CN"/>
        </w:rPr>
      </w:pPr>
      <w:r>
        <w:rPr>
          <w:rFonts w:hint="eastAsia" w:ascii="仿宋_GB2312" w:hAnsi="宋体" w:eastAsia="仿宋_GB2312" w:cs="宋体"/>
          <w:sz w:val="28"/>
          <w:szCs w:val="28"/>
        </w:rPr>
        <w:t>△</w:t>
      </w:r>
      <w:r>
        <w:rPr>
          <w:rFonts w:hint="eastAsia" w:ascii="仿宋_GB2312" w:hAnsi="黑体" w:eastAsia="仿宋_GB2312"/>
          <w:sz w:val="28"/>
          <w:szCs w:val="28"/>
        </w:rPr>
        <w:t>201</w:t>
      </w:r>
      <w:r>
        <w:rPr>
          <w:rFonts w:hint="eastAsia" w:ascii="仿宋_GB2312" w:hAnsi="黑体" w:eastAsia="仿宋_GB2312"/>
          <w:sz w:val="28"/>
          <w:szCs w:val="28"/>
          <w:lang w:val="en-US" w:eastAsia="zh-CN"/>
        </w:rPr>
        <w:t>8</w:t>
      </w:r>
      <w:r>
        <w:rPr>
          <w:rFonts w:hint="eastAsia" w:ascii="仿宋_GB2312" w:hAnsi="黑体" w:eastAsia="仿宋_GB2312"/>
          <w:sz w:val="28"/>
          <w:szCs w:val="28"/>
        </w:rPr>
        <w:t>年度广西优秀拍卖师名单</w:t>
      </w:r>
      <w:r>
        <w:rPr>
          <w:rFonts w:hint="eastAsia" w:ascii="仿宋_GB2312" w:hAnsi="黑体" w:eastAsia="仿宋_GB2312"/>
          <w:sz w:val="28"/>
          <w:szCs w:val="28"/>
          <w:lang w:val="en-US" w:eastAsia="zh-CN"/>
        </w:rPr>
        <w:t>...........................</w:t>
      </w:r>
      <w:r>
        <w:rPr>
          <w:rFonts w:hint="eastAsia" w:ascii="仿宋_GB2312" w:hAnsi="黑体" w:eastAsia="仿宋_GB2312"/>
          <w:sz w:val="28"/>
          <w:szCs w:val="28"/>
          <w:lang w:eastAsia="zh-CN"/>
        </w:rPr>
        <w:t>（</w:t>
      </w:r>
      <w:r>
        <w:rPr>
          <w:rFonts w:hint="eastAsia" w:ascii="仿宋_GB2312" w:hAnsi="黑体" w:eastAsia="仿宋_GB2312"/>
          <w:sz w:val="28"/>
          <w:szCs w:val="28"/>
          <w:lang w:val="en-US" w:eastAsia="zh-CN"/>
        </w:rPr>
        <w:t>21</w:t>
      </w:r>
      <w:r>
        <w:rPr>
          <w:rFonts w:hint="eastAsia" w:ascii="仿宋_GB2312" w:hAnsi="黑体" w:eastAsia="仿宋_GB2312"/>
          <w:sz w:val="28"/>
          <w:szCs w:val="28"/>
          <w:lang w:eastAsia="zh-CN"/>
        </w:rPr>
        <w:t>）</w:t>
      </w:r>
    </w:p>
    <w:p>
      <w:pPr>
        <w:rPr>
          <w:rFonts w:hint="eastAsia" w:ascii="仿宋_GB2312" w:hAnsi="宋体" w:eastAsia="仿宋_GB2312" w:cs="宋体"/>
          <w:sz w:val="28"/>
          <w:szCs w:val="28"/>
          <w:lang w:eastAsia="zh-CN"/>
        </w:rPr>
      </w:pPr>
      <w:r>
        <w:rPr>
          <w:rFonts w:hint="eastAsia" w:ascii="仿宋_GB2312" w:hAnsi="宋体" w:eastAsia="仿宋_GB2312" w:cs="宋体"/>
          <w:sz w:val="28"/>
          <w:szCs w:val="28"/>
        </w:rPr>
        <w:t>△</w:t>
      </w:r>
      <w:r>
        <w:rPr>
          <w:rFonts w:hint="eastAsia" w:ascii="仿宋_GB2312" w:hAnsi="黑体" w:eastAsia="仿宋_GB2312"/>
          <w:sz w:val="28"/>
          <w:szCs w:val="28"/>
        </w:rPr>
        <w:t>201</w:t>
      </w:r>
      <w:r>
        <w:rPr>
          <w:rFonts w:hint="eastAsia" w:ascii="仿宋_GB2312" w:hAnsi="黑体" w:eastAsia="仿宋_GB2312"/>
          <w:sz w:val="28"/>
          <w:szCs w:val="28"/>
          <w:lang w:val="en-US" w:eastAsia="zh-CN"/>
        </w:rPr>
        <w:t>8</w:t>
      </w:r>
      <w:r>
        <w:rPr>
          <w:rFonts w:hint="eastAsia" w:ascii="仿宋_GB2312" w:hAnsi="黑体" w:eastAsia="仿宋_GB2312"/>
          <w:sz w:val="28"/>
          <w:szCs w:val="28"/>
        </w:rPr>
        <w:t>年度《广西拍卖通讯》优秀通讯员名单</w:t>
      </w:r>
      <w:r>
        <w:rPr>
          <w:rFonts w:hint="eastAsia" w:ascii="仿宋_GB2312" w:hAnsi="黑体" w:eastAsia="仿宋_GB2312"/>
          <w:sz w:val="28"/>
          <w:szCs w:val="28"/>
          <w:lang w:val="en-US" w:eastAsia="zh-CN"/>
        </w:rPr>
        <w:t>...............</w:t>
      </w:r>
      <w:r>
        <w:rPr>
          <w:rFonts w:hint="eastAsia" w:ascii="仿宋_GB2312" w:hAnsi="黑体" w:eastAsia="仿宋_GB2312"/>
          <w:sz w:val="28"/>
          <w:szCs w:val="28"/>
          <w:lang w:eastAsia="zh-CN"/>
        </w:rPr>
        <w:t>（</w:t>
      </w:r>
      <w:r>
        <w:rPr>
          <w:rFonts w:hint="eastAsia" w:ascii="仿宋_GB2312" w:hAnsi="黑体" w:eastAsia="仿宋_GB2312"/>
          <w:sz w:val="28"/>
          <w:szCs w:val="28"/>
          <w:lang w:val="en-US" w:eastAsia="zh-CN"/>
        </w:rPr>
        <w:t>22</w:t>
      </w:r>
      <w:r>
        <w:rPr>
          <w:rFonts w:hint="eastAsia" w:ascii="仿宋_GB2312" w:hAnsi="黑体" w:eastAsia="仿宋_GB2312"/>
          <w:sz w:val="28"/>
          <w:szCs w:val="28"/>
          <w:lang w:eastAsia="zh-CN"/>
        </w:rPr>
        <w:t>）</w:t>
      </w:r>
    </w:p>
    <w:p>
      <w:pPr>
        <w:rPr>
          <w:rFonts w:hint="eastAsia"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b/>
          <w:bCs/>
          <w:sz w:val="28"/>
          <w:szCs w:val="28"/>
        </w:rPr>
        <w:t>●</w:t>
      </w:r>
      <w:r>
        <w:rPr>
          <w:rFonts w:hint="eastAsia" w:asciiTheme="majorEastAsia" w:hAnsiTheme="majorEastAsia" w:eastAsiaTheme="majorEastAsia" w:cstheme="majorEastAsia"/>
          <w:b/>
          <w:bCs/>
          <w:sz w:val="28"/>
          <w:szCs w:val="28"/>
          <w:lang w:eastAsia="zh-CN"/>
        </w:rPr>
        <w:t>行业要闻</w:t>
      </w:r>
    </w:p>
    <w:p>
      <w:pPr>
        <w:rPr>
          <w:rFonts w:hint="eastAsia" w:ascii="仿宋_GB2312" w:hAnsi="宋体" w:eastAsia="仿宋_GB2312" w:cs="宋体"/>
          <w:sz w:val="28"/>
          <w:szCs w:val="28"/>
          <w:lang w:val="en-US" w:eastAsia="zh-CN"/>
        </w:rPr>
      </w:pPr>
      <w:r>
        <w:rPr>
          <w:rFonts w:hint="eastAsia" w:ascii="仿宋_GB2312" w:hAnsi="宋体" w:eastAsia="仿宋_GB2312" w:cs="宋体"/>
          <w:sz w:val="28"/>
          <w:szCs w:val="28"/>
        </w:rPr>
        <w:t>△</w:t>
      </w:r>
      <w:r>
        <w:rPr>
          <w:rFonts w:hint="eastAsia" w:ascii="仿宋_GB2312" w:hAnsi="宋体" w:eastAsia="仿宋_GB2312" w:cs="宋体"/>
          <w:sz w:val="28"/>
          <w:szCs w:val="28"/>
          <w:lang w:val="en-US" w:eastAsia="zh-CN"/>
        </w:rPr>
        <w:t>做好拍卖售后的线下服务..........................潘振华（23）</w:t>
      </w:r>
    </w:p>
    <w:p>
      <w:pPr>
        <w:rPr>
          <w:rFonts w:hint="eastAsia" w:ascii="仿宋_GB2312" w:hAnsi="宋体" w:eastAsia="仿宋_GB2312" w:cs="宋体"/>
          <w:sz w:val="28"/>
          <w:szCs w:val="28"/>
          <w:lang w:eastAsia="zh-CN"/>
        </w:rPr>
      </w:pP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关于网络司法拍卖悔拍后保证金处置法律问题的探析</w:t>
      </w:r>
    </w:p>
    <w:p>
      <w:pPr>
        <w:ind w:firstLine="280" w:firstLineChars="100"/>
        <w:rPr>
          <w:rFonts w:hint="eastAsia" w:ascii="仿宋_GB2312" w:hAnsi="宋体" w:eastAsia="仿宋_GB2312" w:cs="宋体"/>
          <w:sz w:val="28"/>
          <w:szCs w:val="28"/>
          <w:lang w:eastAsia="zh-CN"/>
        </w:rPr>
      </w:pPr>
      <w:r>
        <w:rPr>
          <w:rFonts w:hint="eastAsia" w:ascii="仿宋_GB2312" w:hAnsi="宋体" w:eastAsia="仿宋_GB2312" w:cs="宋体"/>
          <w:sz w:val="28"/>
          <w:szCs w:val="28"/>
          <w:lang w:val="en-US" w:eastAsia="zh-CN"/>
        </w:rPr>
        <w:t>.................................................</w:t>
      </w:r>
      <w:r>
        <w:rPr>
          <w:rFonts w:hint="eastAsia" w:ascii="仿宋_GB2312" w:hAnsi="宋体" w:eastAsia="仿宋_GB2312" w:cs="宋体"/>
          <w:sz w:val="28"/>
          <w:szCs w:val="28"/>
          <w:lang w:eastAsia="zh-CN"/>
        </w:rPr>
        <w:t>马</w:t>
      </w: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lang w:eastAsia="zh-CN"/>
        </w:rPr>
        <w:t>巍（</w:t>
      </w:r>
      <w:r>
        <w:rPr>
          <w:rFonts w:hint="eastAsia" w:ascii="仿宋_GB2312" w:hAnsi="宋体" w:eastAsia="仿宋_GB2312" w:cs="宋体"/>
          <w:sz w:val="28"/>
          <w:szCs w:val="28"/>
          <w:lang w:val="en-US" w:eastAsia="zh-CN"/>
        </w:rPr>
        <w:t>26</w:t>
      </w:r>
      <w:r>
        <w:rPr>
          <w:rFonts w:hint="eastAsia" w:ascii="仿宋_GB2312" w:hAnsi="宋体" w:eastAsia="仿宋_GB2312"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sz w:val="28"/>
          <w:szCs w:val="28"/>
          <w:u w:val="none"/>
          <w:lang w:eastAsia="zh-CN"/>
        </w:rPr>
      </w:pPr>
      <w:r>
        <w:rPr>
          <w:rFonts w:hint="eastAsia" w:asciiTheme="majorEastAsia" w:hAnsiTheme="majorEastAsia" w:eastAsiaTheme="majorEastAsia" w:cstheme="majorEastAsia"/>
          <w:b/>
          <w:bCs/>
          <w:sz w:val="28"/>
          <w:szCs w:val="28"/>
        </w:rPr>
        <w:t>●</w:t>
      </w:r>
      <w:r>
        <w:rPr>
          <w:rFonts w:hint="eastAsia" w:ascii="黑体" w:hAnsi="黑体" w:eastAsia="黑体" w:cs="黑体"/>
          <w:sz w:val="28"/>
          <w:szCs w:val="28"/>
          <w:u w:val="none"/>
          <w:lang w:eastAsia="zh-CN"/>
        </w:rPr>
        <w:t>通讯员来稿</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u w:val="single"/>
          <w:lang w:eastAsia="zh-CN"/>
        </w:rPr>
      </w:pPr>
      <w:r>
        <w:rPr>
          <w:rFonts w:hint="eastAsia" w:ascii="仿宋_GB2312" w:hAnsi="宋体" w:eastAsia="仿宋_GB2312" w:cs="宋体"/>
          <w:sz w:val="28"/>
          <w:szCs w:val="28"/>
        </w:rPr>
        <w:t>△</w:t>
      </w:r>
      <w:r>
        <w:rPr>
          <w:rFonts w:hint="eastAsia" w:ascii="仿宋_GB2312" w:hAnsi="仿宋_GB2312" w:eastAsia="仿宋_GB2312" w:cs="仿宋_GB2312"/>
          <w:sz w:val="28"/>
          <w:szCs w:val="28"/>
        </w:rPr>
        <w:t>正槌公司组织员工赴迪拜</w:t>
      </w:r>
      <w:r>
        <w:rPr>
          <w:rFonts w:hint="eastAsia" w:ascii="仿宋_GB2312" w:hAnsi="仿宋_GB2312" w:eastAsia="仿宋_GB2312" w:cs="仿宋_GB2312"/>
          <w:sz w:val="28"/>
          <w:szCs w:val="28"/>
          <w:lang w:eastAsia="zh-CN"/>
        </w:rPr>
        <w:t>考察</w:t>
      </w:r>
      <w:r>
        <w:rPr>
          <w:rFonts w:hint="eastAsia" w:ascii="仿宋_GB2312" w:hAnsi="仿宋_GB2312" w:eastAsia="仿宋_GB2312" w:cs="仿宋_GB2312"/>
          <w:sz w:val="28"/>
          <w:szCs w:val="28"/>
          <w:lang w:val="en-US" w:eastAsia="zh-CN"/>
        </w:rPr>
        <w:t>..................郑欣 李璐</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both"/>
        <w:textAlignment w:val="auto"/>
        <w:rPr>
          <w:rFonts w:hint="default" w:ascii="仿宋_GB2312" w:hAnsi="仿宋_GB2312" w:eastAsia="仿宋_GB2312" w:cs="仿宋_GB2312"/>
          <w:sz w:val="28"/>
          <w:szCs w:val="28"/>
          <w:u w:val="single"/>
          <w:lang w:val="en-US" w:eastAsia="zh-CN"/>
        </w:rPr>
      </w:pPr>
      <w:r>
        <w:rPr>
          <w:rFonts w:hint="eastAsia" w:ascii="仿宋_GB2312" w:hAnsi="宋体" w:eastAsia="仿宋_GB2312" w:cs="宋体"/>
          <w:sz w:val="28"/>
          <w:szCs w:val="28"/>
        </w:rPr>
        <w:t>△</w:t>
      </w:r>
      <w:r>
        <w:rPr>
          <w:rFonts w:hint="eastAsia" w:ascii="仿宋_GB2312" w:hAnsi="仿宋_GB2312" w:eastAsia="仿宋_GB2312" w:cs="仿宋_GB2312"/>
          <w:i w:val="0"/>
          <w:caps w:val="0"/>
          <w:color w:val="auto"/>
          <w:spacing w:val="0"/>
          <w:sz w:val="28"/>
          <w:szCs w:val="28"/>
        </w:rPr>
        <w:t>正槌员工端午节送温暖</w:t>
      </w:r>
      <w:r>
        <w:rPr>
          <w:rFonts w:hint="eastAsia" w:ascii="仿宋_GB2312" w:hAnsi="仿宋_GB2312" w:eastAsia="仿宋_GB2312" w:cs="仿宋_GB2312"/>
          <w:i w:val="0"/>
          <w:caps w:val="0"/>
          <w:color w:val="auto"/>
          <w:spacing w:val="0"/>
          <w:sz w:val="28"/>
          <w:szCs w:val="28"/>
          <w:lang w:val="en-US" w:eastAsia="zh-CN"/>
        </w:rPr>
        <w:t>.............................</w:t>
      </w:r>
      <w:r>
        <w:rPr>
          <w:rFonts w:hint="eastAsia" w:ascii="仿宋_GB2312" w:hAnsi="仿宋_GB2312" w:eastAsia="仿宋_GB2312" w:cs="仿宋_GB2312"/>
          <w:i w:val="0"/>
          <w:caps w:val="0"/>
          <w:color w:val="auto"/>
          <w:spacing w:val="0"/>
          <w:sz w:val="28"/>
          <w:szCs w:val="28"/>
        </w:rPr>
        <w:t>李</w:t>
      </w:r>
      <w:r>
        <w:rPr>
          <w:rFonts w:hint="eastAsia" w:ascii="仿宋_GB2312" w:hAnsi="仿宋_GB2312" w:eastAsia="仿宋_GB2312" w:cs="仿宋_GB2312"/>
          <w:i w:val="0"/>
          <w:caps w:val="0"/>
          <w:color w:val="auto"/>
          <w:spacing w:val="0"/>
          <w:sz w:val="28"/>
          <w:szCs w:val="28"/>
          <w:lang w:val="en-US" w:eastAsia="zh-CN"/>
        </w:rPr>
        <w:t xml:space="preserve"> </w:t>
      </w:r>
      <w:r>
        <w:rPr>
          <w:rFonts w:hint="eastAsia" w:ascii="仿宋_GB2312" w:hAnsi="仿宋_GB2312" w:eastAsia="仿宋_GB2312" w:cs="仿宋_GB2312"/>
          <w:i w:val="0"/>
          <w:caps w:val="0"/>
          <w:color w:val="auto"/>
          <w:spacing w:val="0"/>
          <w:sz w:val="28"/>
          <w:szCs w:val="28"/>
        </w:rPr>
        <w:t>璐</w:t>
      </w:r>
      <w:r>
        <w:rPr>
          <w:rFonts w:hint="eastAsia" w:ascii="仿宋_GB2312" w:hAnsi="仿宋_GB2312" w:eastAsia="仿宋_GB2312" w:cs="仿宋_GB2312"/>
          <w:i w:val="0"/>
          <w:caps w:val="0"/>
          <w:color w:val="auto"/>
          <w:spacing w:val="0"/>
          <w:sz w:val="28"/>
          <w:szCs w:val="28"/>
          <w:lang w:val="en-US" w:eastAsia="zh-CN"/>
        </w:rPr>
        <w:t>(32)</w:t>
      </w: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r>
        <w:rPr>
          <w:rFonts w:hint="eastAsia" w:ascii="仿宋_GB2312" w:eastAsia="仿宋_GB2312"/>
          <w:sz w:val="28"/>
          <w:szCs w:val="28"/>
          <w:u w:val="single"/>
        </w:rPr>
        <w:t xml:space="preserve">　　　　　　　　　　　　　　　　　　　　　　　　　　　　     </w:t>
      </w:r>
    </w:p>
    <w:p>
      <w:pPr>
        <w:spacing w:line="300" w:lineRule="exact"/>
        <w:rPr>
          <w:rFonts w:hint="eastAsia" w:ascii="仿宋_GB2312" w:eastAsia="仿宋_GB2312"/>
          <w:sz w:val="28"/>
          <w:szCs w:val="28"/>
        </w:rPr>
      </w:pPr>
      <w:r>
        <w:rPr>
          <w:rFonts w:hint="eastAsia" w:ascii="黑体" w:hAnsi="黑体" w:eastAsia="黑体"/>
          <w:kern w:val="0"/>
          <w:sz w:val="28"/>
          <w:szCs w:val="28"/>
        </w:rPr>
        <w:t>欢迎赐稿，来稿请至</w:t>
      </w:r>
      <w:r>
        <w:rPr>
          <w:rFonts w:hint="eastAsia" w:ascii="仿宋_GB2312" w:eastAsia="仿宋_GB2312"/>
          <w:kern w:val="0"/>
          <w:sz w:val="28"/>
          <w:szCs w:val="28"/>
        </w:rPr>
        <w:t>：E－mail:gxpm2008＠126.com</w:t>
      </w:r>
    </w:p>
    <w:p>
      <w:pPr>
        <w:spacing w:line="300" w:lineRule="exact"/>
        <w:rPr>
          <w:rFonts w:hint="eastAsia" w:ascii="仿宋_GB2312" w:eastAsia="仿宋_GB2312"/>
          <w:sz w:val="28"/>
          <w:szCs w:val="28"/>
        </w:rPr>
      </w:pPr>
      <w:r>
        <w:rPr>
          <w:rFonts w:hint="eastAsia" w:ascii="仿宋_GB2312" w:eastAsia="仿宋_GB2312"/>
          <w:sz w:val="28"/>
          <w:szCs w:val="28"/>
        </w:rPr>
        <w:t>地址：南宁市青秀区教育路22号金凤凰</w:t>
      </w:r>
      <w:r>
        <w:rPr>
          <w:rFonts w:hint="eastAsia" w:ascii="新宋体" w:hAnsi="新宋体" w:eastAsia="新宋体"/>
          <w:sz w:val="28"/>
          <w:szCs w:val="28"/>
        </w:rPr>
        <w:t>·</w:t>
      </w:r>
      <w:r>
        <w:rPr>
          <w:rFonts w:hint="eastAsia" w:ascii="仿宋_GB2312" w:eastAsia="仿宋_GB2312"/>
          <w:sz w:val="28"/>
          <w:szCs w:val="28"/>
        </w:rPr>
        <w:t>南湖御景御景阁1702室</w:t>
      </w:r>
    </w:p>
    <w:p>
      <w:pPr>
        <w:spacing w:line="300" w:lineRule="exact"/>
        <w:rPr>
          <w:rFonts w:hint="eastAsia" w:ascii="仿宋_GB2312" w:eastAsia="仿宋_GB2312"/>
          <w:sz w:val="28"/>
          <w:szCs w:val="28"/>
        </w:rPr>
      </w:pPr>
      <w:r>
        <w:rPr>
          <w:rFonts w:hint="eastAsia" w:ascii="仿宋_GB2312" w:eastAsia="仿宋_GB2312"/>
          <w:sz w:val="28"/>
          <w:szCs w:val="28"/>
        </w:rPr>
        <w:t>电话（传真）：0771-5579044　　　　　　　邮编：5</w:t>
      </w:r>
      <w:bookmarkStart w:id="0" w:name="_GoBack"/>
      <w:bookmarkEnd w:id="0"/>
      <w:r>
        <w:rPr>
          <w:rFonts w:hint="eastAsia" w:ascii="仿宋_GB2312" w:eastAsia="仿宋_GB2312"/>
          <w:sz w:val="28"/>
          <w:szCs w:val="28"/>
        </w:rPr>
        <w:t>30022</w:t>
      </w:r>
    </w:p>
    <w:p>
      <w:pPr>
        <w:spacing w:line="300" w:lineRule="exact"/>
        <w:rPr>
          <w:rFonts w:hint="eastAsia" w:ascii="仿宋_GB2312" w:eastAsia="仿宋_GB2312"/>
          <w:sz w:val="28"/>
          <w:szCs w:val="28"/>
        </w:rPr>
      </w:pPr>
    </w:p>
    <w:p>
      <w:pPr>
        <w:spacing w:line="600" w:lineRule="exact"/>
        <w:rPr>
          <w:rFonts w:hint="eastAsia" w:ascii="黑体" w:hAnsi="黑体" w:eastAsia="黑体"/>
          <w:sz w:val="28"/>
          <w:szCs w:val="28"/>
          <w:bdr w:val="single" w:sz="4" w:space="0"/>
          <w:lang w:eastAsia="zh-CN"/>
        </w:rPr>
      </w:pPr>
      <w:r>
        <w:rPr>
          <w:rFonts w:hint="eastAsia" w:asciiTheme="minorEastAsia" w:hAnsiTheme="minorEastAsia" w:eastAsiaTheme="minorEastAsia" w:cstheme="minorEastAsia"/>
          <w:b/>
          <w:bCs/>
          <w:sz w:val="30"/>
          <w:szCs w:val="30"/>
          <w:bdr w:val="single" w:sz="4" w:space="0"/>
          <w:lang w:eastAsia="zh-CN"/>
        </w:rPr>
        <w:t>协会动态</w:t>
      </w:r>
    </w:p>
    <w:p>
      <w:pPr>
        <w:spacing w:line="600" w:lineRule="exact"/>
        <w:rPr>
          <w:rFonts w:hint="eastAsia" w:ascii="黑体" w:hAnsi="黑体" w:eastAsia="黑体"/>
          <w:sz w:val="28"/>
          <w:szCs w:val="28"/>
          <w:lang w:eastAsia="zh-CN"/>
        </w:rPr>
      </w:pPr>
    </w:p>
    <w:p>
      <w:pPr>
        <w:jc w:val="center"/>
        <w:rPr>
          <w:sz w:val="36"/>
          <w:szCs w:val="36"/>
        </w:rPr>
      </w:pPr>
      <w:r>
        <w:rPr>
          <w:rFonts w:hint="default" w:ascii="黑体" w:hAnsi="黑体" w:eastAsia="黑体" w:cs="黑体"/>
          <w:sz w:val="36"/>
          <w:szCs w:val="36"/>
          <w:lang w:eastAsia="zh-CN"/>
        </w:rPr>
        <w:t>区商务厅领导在广西拍卖行业协会第四届第四次</w:t>
      </w:r>
    </w:p>
    <w:p>
      <w:pPr>
        <w:jc w:val="center"/>
        <w:rPr>
          <w:sz w:val="36"/>
          <w:szCs w:val="36"/>
        </w:rPr>
      </w:pPr>
      <w:r>
        <w:rPr>
          <w:rFonts w:hint="default" w:ascii="黑体" w:hAnsi="黑体" w:eastAsia="黑体" w:cs="黑体"/>
          <w:sz w:val="36"/>
          <w:szCs w:val="36"/>
          <w:lang w:eastAsia="zh-CN"/>
        </w:rPr>
        <w:t>会员大会上的讲话</w:t>
      </w:r>
    </w:p>
    <w:p>
      <w:pPr>
        <w:jc w:val="center"/>
        <w:rPr>
          <w:rFonts w:hint="default" w:ascii="仿宋_GB2312" w:hAnsi="仿宋_GB2312" w:eastAsia="仿宋_GB2312" w:cs="仿宋_GB2312"/>
          <w:sz w:val="28"/>
          <w:szCs w:val="28"/>
          <w:lang w:eastAsia="zh-CN"/>
        </w:rPr>
      </w:pPr>
      <w:r>
        <w:rPr>
          <w:rFonts w:hint="eastAsia" w:ascii="仿宋_GB2312" w:eastAsia="仿宋_GB2312"/>
          <w:sz w:val="28"/>
          <w:szCs w:val="28"/>
          <w:lang w:eastAsia="zh-CN"/>
        </w:rPr>
        <w:t>自治区商务厅助理巡视员</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瞿国堂</w:t>
      </w:r>
    </w:p>
    <w:p>
      <w:pPr>
        <w:jc w:val="center"/>
        <w:rPr>
          <w:sz w:val="28"/>
          <w:szCs w:val="28"/>
        </w:rPr>
      </w:pPr>
      <w:r>
        <w:rPr>
          <w:rFonts w:hint="default" w:ascii="仿宋_GB2312" w:hAnsi="仿宋_GB2312" w:eastAsia="仿宋_GB2312" w:cs="仿宋_GB2312"/>
          <w:sz w:val="28"/>
          <w:szCs w:val="28"/>
          <w:lang w:eastAsia="zh-CN"/>
        </w:rPr>
        <w:t>（</w:t>
      </w:r>
      <w:r>
        <w:rPr>
          <w:rFonts w:hint="default" w:ascii="仿宋_GB2312" w:hAnsi="仿宋_GB2312" w:eastAsia="仿宋_GB2312" w:cs="仿宋_GB2312"/>
          <w:sz w:val="28"/>
          <w:szCs w:val="28"/>
          <w:lang w:val="en-US" w:eastAsia="zh-CN"/>
        </w:rPr>
        <w:t>2019年4月25日</w:t>
      </w:r>
      <w:r>
        <w:rPr>
          <w:rFonts w:hint="default"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default" w:ascii="仿宋_GB2312" w:hAnsi="仿宋_GB2312" w:eastAsia="仿宋_GB2312" w:cs="仿宋_GB2312"/>
          <w:sz w:val="28"/>
          <w:szCs w:val="28"/>
          <w:lang w:eastAsia="zh-CN"/>
        </w:rPr>
        <w:t>各位代表：大家上午好！</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sz w:val="28"/>
          <w:szCs w:val="28"/>
        </w:rPr>
      </w:pPr>
      <w:r>
        <w:rPr>
          <w:rFonts w:hint="default" w:ascii="仿宋_GB2312" w:hAnsi="仿宋_GB2312" w:eastAsia="仿宋_GB2312" w:cs="仿宋_GB2312"/>
          <w:sz w:val="28"/>
          <w:szCs w:val="28"/>
          <w:lang w:val="en-US" w:eastAsia="zh-CN"/>
        </w:rPr>
        <w:t>今天，广西拍卖行业协会第四届第四次会员大会在这里隆重召开，我谨代表自治区商务厅表示热烈的祝贺。</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sz w:val="28"/>
          <w:szCs w:val="28"/>
        </w:rPr>
      </w:pPr>
      <w:r>
        <w:rPr>
          <w:rFonts w:hint="default" w:ascii="仿宋_GB2312" w:hAnsi="仿宋_GB2312" w:eastAsia="仿宋_GB2312" w:cs="仿宋_GB2312"/>
          <w:sz w:val="28"/>
          <w:szCs w:val="28"/>
          <w:lang w:val="en-US" w:eastAsia="zh-CN"/>
        </w:rPr>
        <w:t>下面我就全区拍卖行业工作讲几点意见：</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default" w:ascii="黑体" w:hAnsi="黑体" w:eastAsia="黑体" w:cs="黑体"/>
          <w:sz w:val="28"/>
          <w:szCs w:val="28"/>
          <w:lang w:val="en-US" w:eastAsia="zh-CN"/>
        </w:rPr>
      </w:pPr>
      <w:r>
        <w:rPr>
          <w:rFonts w:hint="default" w:ascii="黑体" w:hAnsi="黑体" w:eastAsia="黑体" w:cs="黑体"/>
          <w:sz w:val="28"/>
          <w:szCs w:val="28"/>
          <w:lang w:val="en-US" w:eastAsia="zh-CN"/>
        </w:rPr>
        <w:t>首先是肯定成绩</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sz w:val="28"/>
          <w:szCs w:val="28"/>
        </w:rPr>
      </w:pPr>
      <w:r>
        <w:rPr>
          <w:rFonts w:hint="default" w:ascii="仿宋_GB2312" w:eastAsia="仿宋_GB2312"/>
          <w:sz w:val="28"/>
          <w:szCs w:val="28"/>
        </w:rPr>
        <w:t>201</w:t>
      </w:r>
      <w:r>
        <w:rPr>
          <w:rFonts w:hint="default" w:ascii="仿宋_GB2312" w:eastAsia="仿宋_GB2312"/>
          <w:sz w:val="28"/>
          <w:szCs w:val="28"/>
          <w:lang w:val="en-US" w:eastAsia="zh-CN"/>
        </w:rPr>
        <w:t>8</w:t>
      </w:r>
      <w:r>
        <w:rPr>
          <w:rFonts w:hint="default" w:ascii="仿宋_GB2312" w:eastAsia="仿宋_GB2312"/>
          <w:sz w:val="28"/>
          <w:szCs w:val="28"/>
        </w:rPr>
        <w:t>年我区拍卖业在宏观经济结构深度调整，产业转型升级的情况下，全区拍卖行</w:t>
      </w:r>
      <w:r>
        <w:rPr>
          <w:rFonts w:hint="eastAsia" w:ascii="仿宋_GB2312" w:eastAsia="仿宋_GB2312"/>
          <w:sz w:val="28"/>
          <w:szCs w:val="28"/>
          <w:lang w:eastAsia="zh-CN"/>
        </w:rPr>
        <w:t>业</w:t>
      </w:r>
      <w:r>
        <w:rPr>
          <w:rFonts w:hint="default" w:ascii="仿宋_GB2312" w:eastAsia="仿宋_GB2312"/>
          <w:sz w:val="28"/>
          <w:szCs w:val="28"/>
        </w:rPr>
        <w:t>顶住压力，</w:t>
      </w:r>
      <w:r>
        <w:rPr>
          <w:rFonts w:hint="default" w:ascii="仿宋_GB2312" w:eastAsia="仿宋_GB2312"/>
          <w:sz w:val="28"/>
          <w:szCs w:val="28"/>
          <w:lang w:eastAsia="zh-CN"/>
        </w:rPr>
        <w:t>克服困难，千方百计开拓经营，谋求新的发展，取得了较好成绩。据统计，</w:t>
      </w:r>
      <w:r>
        <w:rPr>
          <w:rFonts w:hint="default" w:ascii="仿宋_GB2312" w:eastAsia="仿宋_GB2312"/>
          <w:sz w:val="28"/>
          <w:szCs w:val="28"/>
        </w:rPr>
        <w:t>截至201</w:t>
      </w:r>
      <w:r>
        <w:rPr>
          <w:rFonts w:hint="default" w:ascii="仿宋_GB2312" w:eastAsia="仿宋_GB2312"/>
          <w:sz w:val="28"/>
          <w:szCs w:val="28"/>
          <w:lang w:val="en-US" w:eastAsia="zh-CN"/>
        </w:rPr>
        <w:t>8</w:t>
      </w:r>
      <w:r>
        <w:rPr>
          <w:rFonts w:hint="default" w:ascii="仿宋_GB2312" w:eastAsia="仿宋_GB2312"/>
          <w:sz w:val="28"/>
          <w:szCs w:val="28"/>
        </w:rPr>
        <w:t>年底，</w:t>
      </w:r>
      <w:r>
        <w:rPr>
          <w:rFonts w:hint="eastAsia" w:ascii="仿宋_GB2312" w:eastAsia="仿宋_GB2312"/>
          <w:sz w:val="28"/>
          <w:szCs w:val="28"/>
          <w:lang w:eastAsia="zh-CN"/>
        </w:rPr>
        <w:t>经过年审，目前</w:t>
      </w:r>
      <w:r>
        <w:rPr>
          <w:rFonts w:hint="default" w:ascii="仿宋_GB2312" w:eastAsia="仿宋_GB2312"/>
          <w:sz w:val="28"/>
          <w:szCs w:val="28"/>
        </w:rPr>
        <w:t>全区共有</w:t>
      </w:r>
      <w:r>
        <w:rPr>
          <w:rFonts w:hint="default" w:ascii="仿宋_GB2312" w:eastAsia="仿宋_GB2312"/>
          <w:color w:val="000000"/>
          <w:sz w:val="28"/>
          <w:szCs w:val="28"/>
        </w:rPr>
        <w:t>拍卖企业263家，实现拍卖成交总额</w:t>
      </w:r>
      <w:r>
        <w:rPr>
          <w:rFonts w:hint="default" w:ascii="仿宋_GB2312" w:eastAsia="仿宋_GB2312"/>
          <w:color w:val="000000"/>
          <w:sz w:val="28"/>
          <w:szCs w:val="28"/>
          <w:lang w:val="en-US" w:eastAsia="zh-CN"/>
        </w:rPr>
        <w:t>151.8</w:t>
      </w:r>
      <w:r>
        <w:rPr>
          <w:rFonts w:hint="default" w:ascii="仿宋_GB2312" w:eastAsia="仿宋_GB2312"/>
          <w:color w:val="000000"/>
          <w:sz w:val="28"/>
          <w:szCs w:val="28"/>
        </w:rPr>
        <w:t>亿元，同比</w:t>
      </w:r>
      <w:r>
        <w:rPr>
          <w:rFonts w:hint="default" w:ascii="仿宋_GB2312" w:eastAsia="仿宋_GB2312"/>
          <w:color w:val="000000"/>
          <w:sz w:val="28"/>
          <w:szCs w:val="28"/>
          <w:lang w:eastAsia="zh-CN"/>
        </w:rPr>
        <w:t>增长</w:t>
      </w:r>
      <w:r>
        <w:rPr>
          <w:rFonts w:hint="default" w:ascii="仿宋_GB2312" w:eastAsia="仿宋_GB2312"/>
          <w:color w:val="000000"/>
          <w:sz w:val="28"/>
          <w:szCs w:val="28"/>
          <w:lang w:val="en-US" w:eastAsia="zh-CN"/>
        </w:rPr>
        <w:t>64.2</w:t>
      </w:r>
      <w:r>
        <w:rPr>
          <w:rFonts w:hint="default" w:ascii="仿宋_GB2312" w:eastAsia="仿宋_GB2312"/>
          <w:sz w:val="28"/>
          <w:szCs w:val="28"/>
        </w:rPr>
        <w:t>％</w:t>
      </w:r>
      <w:r>
        <w:rPr>
          <w:rFonts w:hint="eastAsia" w:ascii="仿宋_GB2312" w:eastAsia="仿宋_GB2312"/>
          <w:sz w:val="28"/>
          <w:szCs w:val="28"/>
          <w:lang w:eastAsia="zh-CN"/>
        </w:rPr>
        <w:t>；</w:t>
      </w:r>
      <w:r>
        <w:rPr>
          <w:rFonts w:hint="default" w:ascii="仿宋_GB2312" w:eastAsia="仿宋_GB2312"/>
          <w:sz w:val="28"/>
          <w:szCs w:val="28"/>
        </w:rPr>
        <w:t>佣金收取总额1.</w:t>
      </w:r>
      <w:r>
        <w:rPr>
          <w:rFonts w:hint="default" w:ascii="仿宋_GB2312" w:eastAsia="仿宋_GB2312"/>
          <w:sz w:val="28"/>
          <w:szCs w:val="28"/>
          <w:lang w:val="en-US" w:eastAsia="zh-CN"/>
        </w:rPr>
        <w:t>6</w:t>
      </w:r>
      <w:r>
        <w:rPr>
          <w:rFonts w:hint="default" w:ascii="仿宋_GB2312" w:eastAsia="仿宋_GB2312"/>
          <w:sz w:val="28"/>
          <w:szCs w:val="28"/>
        </w:rPr>
        <w:t>6亿元，同比</w:t>
      </w:r>
      <w:r>
        <w:rPr>
          <w:rFonts w:hint="default" w:ascii="仿宋_GB2312" w:eastAsia="仿宋_GB2312"/>
          <w:sz w:val="28"/>
          <w:szCs w:val="28"/>
          <w:lang w:eastAsia="zh-CN"/>
        </w:rPr>
        <w:t>增长</w:t>
      </w:r>
      <w:r>
        <w:rPr>
          <w:rFonts w:hint="default" w:ascii="仿宋_GB2312" w:eastAsia="仿宋_GB2312"/>
          <w:sz w:val="28"/>
          <w:szCs w:val="28"/>
          <w:lang w:val="en-US" w:eastAsia="zh-CN"/>
        </w:rPr>
        <w:t>13.59</w:t>
      </w:r>
      <w:r>
        <w:rPr>
          <w:rFonts w:hint="default" w:ascii="仿宋_GB2312" w:eastAsia="仿宋_GB2312"/>
          <w:sz w:val="28"/>
          <w:szCs w:val="28"/>
        </w:rPr>
        <w:t>％</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sz w:val="28"/>
          <w:szCs w:val="28"/>
        </w:rPr>
      </w:pPr>
      <w:r>
        <w:rPr>
          <w:rFonts w:hint="default" w:ascii="黑体" w:hAnsi="黑体" w:eastAsia="黑体"/>
          <w:sz w:val="28"/>
          <w:szCs w:val="28"/>
        </w:rPr>
        <w:t>二</w:t>
      </w:r>
      <w:r>
        <w:rPr>
          <w:rFonts w:hint="eastAsia" w:ascii="黑体" w:hAnsi="黑体"/>
          <w:sz w:val="28"/>
          <w:szCs w:val="28"/>
          <w:lang w:eastAsia="zh-CN"/>
        </w:rPr>
        <w:t>是要</w:t>
      </w:r>
      <w:r>
        <w:rPr>
          <w:rFonts w:hint="default" w:ascii="黑体" w:hAnsi="黑体" w:eastAsia="黑体"/>
          <w:sz w:val="28"/>
          <w:szCs w:val="28"/>
        </w:rPr>
        <w:t>认清形势</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sz w:val="28"/>
          <w:szCs w:val="28"/>
        </w:rPr>
      </w:pPr>
      <w:r>
        <w:rPr>
          <w:rFonts w:hint="default" w:ascii="仿宋_GB2312" w:eastAsia="仿宋_GB2312"/>
          <w:sz w:val="28"/>
          <w:szCs w:val="28"/>
        </w:rPr>
        <w:t>在充分肯定成绩的同时，我们也应清醒地认识到，目前影响宏观经济走势的不确定因素还很多，社会投资与消费行为趋于谨慎</w:t>
      </w:r>
      <w:r>
        <w:rPr>
          <w:rFonts w:hint="eastAsia" w:ascii="仿宋_GB2312" w:eastAsia="仿宋_GB2312"/>
          <w:sz w:val="28"/>
          <w:szCs w:val="28"/>
          <w:lang w:eastAsia="zh-CN"/>
        </w:rPr>
        <w:t>，</w:t>
      </w:r>
      <w:r>
        <w:rPr>
          <w:rFonts w:hint="default" w:ascii="仿宋_GB2312" w:eastAsia="仿宋_GB2312"/>
          <w:sz w:val="28"/>
          <w:szCs w:val="28"/>
        </w:rPr>
        <w:t>拍卖企业发展面临的形势依然严峻复杂</w:t>
      </w:r>
      <w:r>
        <w:rPr>
          <w:rFonts w:hint="eastAsia" w:ascii="仿宋_GB2312" w:eastAsia="仿宋_GB2312"/>
          <w:sz w:val="28"/>
          <w:szCs w:val="28"/>
          <w:lang w:eastAsia="zh-CN"/>
        </w:rPr>
        <w:t>，</w:t>
      </w:r>
      <w:r>
        <w:rPr>
          <w:rFonts w:hint="default" w:ascii="仿宋_GB2312" w:eastAsia="仿宋_GB2312"/>
          <w:sz w:val="28"/>
          <w:szCs w:val="28"/>
        </w:rPr>
        <w:t>竞买人减少、佣金比率下降、流拍量上升等，这些都表明，经济下行压力对拍卖业的冲击短时间内还难以完全消除，行业壁垒、部门垄断尚未彻底打破等，都在一定程度上加大了拍卖企业的经营压力。因此，目前的市场情况，既是挑战，也是机遇，关键是树立信心，振奋精神，开拓创新，下决心改变经营模式雷同的问题，突出自己的经营特色，增强市场开发意识，拓展拍卖</w:t>
      </w:r>
      <w:r>
        <w:rPr>
          <w:rFonts w:hint="eastAsia" w:ascii="仿宋_GB2312" w:eastAsia="仿宋_GB2312"/>
          <w:sz w:val="28"/>
          <w:szCs w:val="28"/>
          <w:lang w:eastAsia="zh-CN"/>
        </w:rPr>
        <w:t>经营</w:t>
      </w:r>
      <w:r>
        <w:rPr>
          <w:rFonts w:hint="default" w:ascii="仿宋_GB2312" w:eastAsia="仿宋_GB2312"/>
          <w:sz w:val="28"/>
          <w:szCs w:val="28"/>
        </w:rPr>
        <w:t>领域，创新经营方式，向一专多能的方向发展</w:t>
      </w:r>
      <w:r>
        <w:rPr>
          <w:rFonts w:hint="default" w:ascii="仿宋_GB2312" w:eastAsia="仿宋_GB2312"/>
          <w:sz w:val="28"/>
          <w:szCs w:val="28"/>
          <w:lang w:eastAsia="zh-CN"/>
        </w:rPr>
        <w:t>，</w:t>
      </w:r>
      <w:r>
        <w:rPr>
          <w:rFonts w:hint="eastAsia" w:ascii="仿宋_GB2312" w:eastAsia="仿宋_GB2312"/>
          <w:sz w:val="28"/>
          <w:szCs w:val="28"/>
          <w:lang w:eastAsia="zh-CN"/>
        </w:rPr>
        <w:t>加快企</w:t>
      </w:r>
      <w:r>
        <w:rPr>
          <w:rFonts w:hint="default" w:ascii="仿宋_GB2312" w:eastAsia="仿宋_GB2312"/>
          <w:sz w:val="28"/>
          <w:szCs w:val="28"/>
          <w:lang w:eastAsia="zh-CN"/>
        </w:rPr>
        <w:t>业转型升级</w:t>
      </w:r>
      <w:r>
        <w:rPr>
          <w:rFonts w:hint="default"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sz w:val="28"/>
          <w:szCs w:val="28"/>
        </w:rPr>
      </w:pPr>
      <w:r>
        <w:rPr>
          <w:rFonts w:hint="default" w:ascii="黑体" w:hAnsi="黑体" w:eastAsia="黑体"/>
          <w:sz w:val="28"/>
          <w:szCs w:val="28"/>
        </w:rPr>
        <w:t>三</w:t>
      </w:r>
      <w:r>
        <w:rPr>
          <w:rFonts w:hint="eastAsia" w:ascii="黑体" w:hAnsi="黑体"/>
          <w:sz w:val="28"/>
          <w:szCs w:val="28"/>
          <w:lang w:eastAsia="zh-CN"/>
        </w:rPr>
        <w:t>是要</w:t>
      </w:r>
      <w:r>
        <w:rPr>
          <w:rFonts w:hint="default" w:ascii="黑体" w:hAnsi="黑体" w:eastAsia="黑体"/>
          <w:sz w:val="28"/>
          <w:szCs w:val="28"/>
        </w:rPr>
        <w:t>规范运作</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sz w:val="28"/>
          <w:szCs w:val="28"/>
        </w:rPr>
      </w:pPr>
      <w:r>
        <w:rPr>
          <w:rFonts w:hint="default" w:ascii="仿宋_GB2312" w:eastAsia="仿宋_GB2312"/>
          <w:sz w:val="28"/>
          <w:szCs w:val="28"/>
        </w:rPr>
        <w:t>公开、公平、公正、诚实守信是拍卖的灵魂，离开了这个灵魂，拍卖业就失去了生命力。目前，我区拍卖企业规范经营方面的总体情况是好的，但是也存在许多不尽人意的地方，个别企业为了自身利益，串标、围标</w:t>
      </w:r>
      <w:r>
        <w:rPr>
          <w:rFonts w:hint="default" w:ascii="仿宋_GB2312" w:eastAsia="仿宋_GB2312"/>
          <w:sz w:val="28"/>
          <w:szCs w:val="28"/>
          <w:lang w:eastAsia="zh-CN"/>
        </w:rPr>
        <w:t>和降低佣金、收了保证金不及时退还</w:t>
      </w:r>
      <w:r>
        <w:rPr>
          <w:rFonts w:hint="default" w:ascii="仿宋_GB2312" w:eastAsia="仿宋_GB2312"/>
          <w:sz w:val="28"/>
          <w:szCs w:val="28"/>
        </w:rPr>
        <w:t>等违规</w:t>
      </w:r>
      <w:r>
        <w:rPr>
          <w:rFonts w:hint="default" w:ascii="仿宋_GB2312" w:eastAsia="仿宋_GB2312"/>
          <w:sz w:val="28"/>
          <w:szCs w:val="28"/>
          <w:lang w:eastAsia="zh-CN"/>
        </w:rPr>
        <w:t>违约</w:t>
      </w:r>
      <w:r>
        <w:rPr>
          <w:rFonts w:hint="default" w:ascii="仿宋_GB2312" w:eastAsia="仿宋_GB2312"/>
          <w:sz w:val="28"/>
          <w:szCs w:val="28"/>
        </w:rPr>
        <w:t>经营现象时有发生，不仅扰乱了拍卖市场秩序，损害了拍卖行业的形象</w:t>
      </w:r>
      <w:r>
        <w:rPr>
          <w:rFonts w:hint="eastAsia" w:ascii="仿宋_GB2312" w:eastAsia="仿宋_GB2312"/>
          <w:sz w:val="28"/>
          <w:szCs w:val="28"/>
          <w:lang w:eastAsia="zh-CN"/>
        </w:rPr>
        <w:t>。为了</w:t>
      </w:r>
      <w:r>
        <w:rPr>
          <w:rFonts w:hint="default" w:ascii="仿宋_GB2312" w:eastAsia="仿宋_GB2312"/>
          <w:sz w:val="28"/>
          <w:szCs w:val="28"/>
        </w:rPr>
        <w:t>维护拍卖行业的整体形象，首先，各拍卖企业必须严格遵守《拍卖法》的各项规定，规范企业经营行为，自觉抵制拍卖领域各种不正之风的侵袭，树立依法合规经营光荣，违法违规经营可耻的行业正气。其次，要建立严格的行业监管体系，各级拍卖行业主管部门以及拍卖行业协会都要认真履行职责，建立投诉举报查实处理工作机制和市场退出制度，及时查处拍卖过程中的各种违法违规行为，从制度上堵塞漏洞，确保拍卖行业有序发展。</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sz w:val="28"/>
          <w:szCs w:val="28"/>
        </w:rPr>
      </w:pPr>
      <w:r>
        <w:rPr>
          <w:rFonts w:hint="default" w:ascii="黑体" w:hAnsi="黑体" w:eastAsia="黑体"/>
          <w:sz w:val="28"/>
          <w:szCs w:val="28"/>
        </w:rPr>
        <w:t>四</w:t>
      </w:r>
      <w:r>
        <w:rPr>
          <w:rFonts w:hint="eastAsia" w:ascii="黑体" w:hAnsi="黑体" w:eastAsia="黑体"/>
          <w:sz w:val="28"/>
          <w:szCs w:val="28"/>
          <w:lang w:eastAsia="zh-CN"/>
        </w:rPr>
        <w:t>是要</w:t>
      </w:r>
      <w:r>
        <w:rPr>
          <w:rFonts w:hint="default" w:ascii="黑体" w:hAnsi="黑体" w:eastAsia="黑体"/>
          <w:sz w:val="28"/>
          <w:szCs w:val="28"/>
        </w:rPr>
        <w:t>凝聚力量</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sz w:val="28"/>
          <w:szCs w:val="28"/>
        </w:rPr>
      </w:pPr>
      <w:r>
        <w:rPr>
          <w:rFonts w:hint="default" w:ascii="仿宋_GB2312" w:eastAsia="仿宋_GB2312"/>
          <w:sz w:val="28"/>
          <w:szCs w:val="28"/>
        </w:rPr>
        <w:t>协会是政府联系企业的桥梁。发挥好协会的作用，对于促进行业健康发展具有重要意义。政府部门要支持协会的工作，建立</w:t>
      </w:r>
      <w:r>
        <w:rPr>
          <w:rFonts w:hint="eastAsia" w:ascii="仿宋_GB2312" w:eastAsia="仿宋_GB2312"/>
          <w:sz w:val="28"/>
          <w:szCs w:val="28"/>
          <w:lang w:eastAsia="zh-CN"/>
        </w:rPr>
        <w:t>情况</w:t>
      </w:r>
      <w:r>
        <w:rPr>
          <w:rFonts w:hint="default" w:ascii="仿宋_GB2312" w:eastAsia="仿宋_GB2312"/>
          <w:sz w:val="28"/>
          <w:szCs w:val="28"/>
        </w:rPr>
        <w:t>互通和重大事项通报制度、形成政府部门、协会、企业之间的良性互动关系。区厅将继续委托协会承担如促进行业发展的调研、行业统计、监督核查等工作</w:t>
      </w:r>
      <w:r>
        <w:rPr>
          <w:rFonts w:hint="eastAsia" w:ascii="仿宋_GB2312" w:eastAsia="仿宋_GB2312"/>
          <w:sz w:val="28"/>
          <w:szCs w:val="28"/>
          <w:lang w:eastAsia="zh-CN"/>
        </w:rPr>
        <w:t>，</w:t>
      </w:r>
      <w:r>
        <w:rPr>
          <w:rFonts w:hint="default" w:ascii="仿宋_GB2312" w:eastAsia="仿宋_GB2312"/>
          <w:sz w:val="28"/>
          <w:szCs w:val="28"/>
        </w:rPr>
        <w:t>同时，也希望协会要切实加强自身建设，完善各项管理制度，牢固树立服务意识，努力把协会办成真正的会员之家，反映会员的诉求，帮助会员解决实际问题，通过卓有成效的工作，凝聚大家的力量，团结和带领全区拍卖企业共同开创广西拍卖业发展的新局面。</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sz w:val="28"/>
          <w:szCs w:val="28"/>
        </w:rPr>
      </w:pPr>
      <w:r>
        <w:rPr>
          <w:rFonts w:hint="default" w:ascii="仿宋_GB2312" w:eastAsia="仿宋_GB2312"/>
          <w:sz w:val="28"/>
          <w:szCs w:val="28"/>
          <w:lang w:eastAsia="zh-CN"/>
        </w:rPr>
        <w:t>借此机会，需要强调的一点是：区厅开展的</w:t>
      </w:r>
      <w:r>
        <w:rPr>
          <w:rFonts w:hint="default" w:ascii="仿宋_GB2312" w:eastAsia="仿宋_GB2312"/>
          <w:sz w:val="28"/>
          <w:szCs w:val="28"/>
          <w:lang w:val="en-US" w:eastAsia="zh-CN"/>
        </w:rPr>
        <w:t>2018年拍卖企业年检工作即将结束，</w:t>
      </w:r>
      <w:r>
        <w:rPr>
          <w:rFonts w:hint="default" w:ascii="仿宋_GB2312" w:eastAsia="仿宋_GB2312"/>
          <w:sz w:val="28"/>
          <w:szCs w:val="28"/>
        </w:rPr>
        <w:t>从各市商务主管部门反馈的情况看，大部分企业还是比较好的，但也有不少企业不按文件要求提交材料，一些企业仍未参加年检。年检是商务部门加强拍卖行业事中事后监管的重要方式，希望各拍卖企业予以重视。对在年检中发现的违规行为，我们也将按照有关规定严格处理。</w:t>
      </w:r>
    </w:p>
    <w:p>
      <w:pPr>
        <w:keepNext w:val="0"/>
        <w:keepLines w:val="0"/>
        <w:pageBreakBefore w:val="0"/>
        <w:widowControl w:val="0"/>
        <w:kinsoku/>
        <w:wordWrap/>
        <w:overflowPunct/>
        <w:topLinePunct w:val="0"/>
        <w:autoSpaceDE/>
        <w:autoSpaceDN/>
        <w:bidi w:val="0"/>
        <w:adjustRightInd/>
        <w:snapToGrid/>
        <w:spacing w:line="440" w:lineRule="exact"/>
        <w:ind w:firstLine="648"/>
        <w:textAlignment w:val="auto"/>
        <w:rPr>
          <w:rFonts w:hint="default" w:ascii="仿宋_GB2312" w:eastAsia="仿宋_GB2312"/>
          <w:sz w:val="28"/>
          <w:szCs w:val="28"/>
        </w:rPr>
      </w:pPr>
      <w:r>
        <w:rPr>
          <w:rFonts w:hint="default" w:ascii="仿宋_GB2312" w:eastAsia="仿宋_GB2312"/>
          <w:sz w:val="28"/>
          <w:szCs w:val="28"/>
        </w:rPr>
        <w:t>最后，预祝大会取得圆满成功，祝大家事业发达，身体健康，家庭幸福。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8"/>
        <w:textAlignment w:val="auto"/>
        <w:rPr>
          <w:sz w:val="28"/>
          <w:szCs w:val="28"/>
        </w:rPr>
      </w:pPr>
      <w:r>
        <w:rPr>
          <w:rFonts w:hint="eastAsia" w:ascii="仿宋_GB2312" w:eastAsia="仿宋_GB2312"/>
          <w:sz w:val="28"/>
          <w:szCs w:val="28"/>
          <w:lang w:eastAsia="zh-CN"/>
        </w:rPr>
        <w:t>谢谢大家！</w:t>
      </w:r>
    </w:p>
    <w:p>
      <w:pPr>
        <w:rPr>
          <w:rFonts w:hint="eastAsia" w:ascii="仿宋_GB2312" w:eastAsia="仿宋_GB2312"/>
          <w:sz w:val="24"/>
        </w:rPr>
      </w:pPr>
    </w:p>
    <w:p>
      <w:pPr>
        <w:jc w:val="center"/>
        <w:rPr>
          <w:rFonts w:hint="eastAsia" w:ascii="黑体" w:hAnsi="黑体" w:eastAsia="黑体"/>
          <w:sz w:val="36"/>
          <w:szCs w:val="36"/>
        </w:rPr>
      </w:pPr>
      <w:r>
        <w:rPr>
          <w:rFonts w:hint="eastAsia" w:ascii="黑体" w:hAnsi="黑体" w:eastAsia="黑体"/>
          <w:sz w:val="36"/>
          <w:szCs w:val="36"/>
        </w:rPr>
        <w:t>广西拍卖行业协会四届</w:t>
      </w:r>
      <w:r>
        <w:rPr>
          <w:rFonts w:hint="eastAsia" w:ascii="黑体" w:hAnsi="黑体" w:eastAsia="黑体"/>
          <w:sz w:val="36"/>
          <w:szCs w:val="36"/>
          <w:lang w:eastAsia="zh-CN"/>
        </w:rPr>
        <w:t>五</w:t>
      </w:r>
      <w:r>
        <w:rPr>
          <w:rFonts w:hint="eastAsia" w:ascii="黑体" w:hAnsi="黑体" w:eastAsia="黑体"/>
          <w:sz w:val="36"/>
          <w:szCs w:val="36"/>
        </w:rPr>
        <w:t>次理事会暨</w:t>
      </w:r>
    </w:p>
    <w:p>
      <w:pPr>
        <w:jc w:val="center"/>
        <w:rPr>
          <w:rFonts w:hint="eastAsia" w:ascii="黑体" w:hAnsi="黑体" w:eastAsia="黑体"/>
          <w:sz w:val="36"/>
          <w:szCs w:val="36"/>
        </w:rPr>
      </w:pPr>
      <w:r>
        <w:rPr>
          <w:rFonts w:hint="eastAsia" w:ascii="黑体" w:hAnsi="黑体" w:eastAsia="黑体"/>
          <w:sz w:val="36"/>
          <w:szCs w:val="36"/>
        </w:rPr>
        <w:t>四届</w:t>
      </w:r>
      <w:r>
        <w:rPr>
          <w:rFonts w:hint="eastAsia" w:ascii="黑体" w:hAnsi="黑体" w:eastAsia="黑体"/>
          <w:sz w:val="36"/>
          <w:szCs w:val="36"/>
          <w:lang w:eastAsia="zh-CN"/>
        </w:rPr>
        <w:t>五</w:t>
      </w:r>
      <w:r>
        <w:rPr>
          <w:rFonts w:hint="eastAsia" w:ascii="黑体" w:hAnsi="黑体" w:eastAsia="黑体"/>
          <w:sz w:val="36"/>
          <w:szCs w:val="36"/>
        </w:rPr>
        <w:t>次常务理事会议纪要</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672"/>
        <w:textAlignment w:val="auto"/>
        <w:rPr>
          <w:rFonts w:hint="eastAsia" w:ascii="仿宋_GB2312" w:eastAsia="仿宋_GB2312"/>
          <w:sz w:val="28"/>
          <w:szCs w:val="28"/>
        </w:rPr>
      </w:pPr>
      <w:r>
        <w:rPr>
          <w:rFonts w:hint="eastAsia" w:ascii="仿宋_GB2312" w:eastAsia="仿宋_GB2312"/>
          <w:sz w:val="28"/>
          <w:szCs w:val="28"/>
        </w:rPr>
        <w:t>广西拍卖行业协会四届</w:t>
      </w:r>
      <w:r>
        <w:rPr>
          <w:rFonts w:hint="eastAsia" w:ascii="仿宋_GB2312" w:eastAsia="仿宋_GB2312"/>
          <w:sz w:val="28"/>
          <w:szCs w:val="28"/>
          <w:lang w:eastAsia="zh-CN"/>
        </w:rPr>
        <w:t>五</w:t>
      </w:r>
      <w:r>
        <w:rPr>
          <w:rFonts w:hint="eastAsia" w:ascii="仿宋_GB2312" w:eastAsia="仿宋_GB2312"/>
          <w:sz w:val="28"/>
          <w:szCs w:val="28"/>
        </w:rPr>
        <w:t>次理事会暨四届</w:t>
      </w:r>
      <w:r>
        <w:rPr>
          <w:rFonts w:hint="eastAsia" w:ascii="仿宋_GB2312" w:eastAsia="仿宋_GB2312"/>
          <w:sz w:val="28"/>
          <w:szCs w:val="28"/>
          <w:lang w:eastAsia="zh-CN"/>
        </w:rPr>
        <w:t>五</w:t>
      </w:r>
      <w:r>
        <w:rPr>
          <w:rFonts w:hint="eastAsia" w:ascii="仿宋_GB2312" w:eastAsia="仿宋_GB2312"/>
          <w:sz w:val="28"/>
          <w:szCs w:val="28"/>
        </w:rPr>
        <w:t>次常务理事会于201</w:t>
      </w:r>
      <w:r>
        <w:rPr>
          <w:rFonts w:hint="eastAsia" w:ascii="仿宋_GB2312" w:eastAsia="仿宋_GB2312"/>
          <w:sz w:val="28"/>
          <w:szCs w:val="28"/>
          <w:lang w:val="en-US" w:eastAsia="zh-CN"/>
        </w:rPr>
        <w:t>9</w:t>
      </w:r>
      <w:r>
        <w:rPr>
          <w:rFonts w:hint="eastAsia" w:ascii="仿宋_GB2312" w:eastAsia="仿宋_GB2312"/>
          <w:sz w:val="28"/>
          <w:szCs w:val="28"/>
        </w:rPr>
        <w:t>年4月2</w:t>
      </w:r>
      <w:r>
        <w:rPr>
          <w:rFonts w:hint="eastAsia" w:ascii="仿宋_GB2312" w:eastAsia="仿宋_GB2312"/>
          <w:sz w:val="28"/>
          <w:szCs w:val="28"/>
          <w:lang w:val="en-US" w:eastAsia="zh-CN"/>
        </w:rPr>
        <w:t>4</w:t>
      </w:r>
      <w:r>
        <w:rPr>
          <w:rFonts w:hint="eastAsia" w:ascii="仿宋_GB2312" w:eastAsia="仿宋_GB2312"/>
          <w:sz w:val="28"/>
          <w:szCs w:val="28"/>
        </w:rPr>
        <w:t>日在</w:t>
      </w:r>
      <w:r>
        <w:rPr>
          <w:rFonts w:hint="eastAsia" w:ascii="仿宋_GB2312" w:eastAsia="仿宋_GB2312"/>
          <w:sz w:val="28"/>
          <w:szCs w:val="28"/>
          <w:lang w:eastAsia="zh-CN"/>
        </w:rPr>
        <w:t>南宁市</w:t>
      </w:r>
      <w:r>
        <w:rPr>
          <w:rFonts w:hint="eastAsia" w:ascii="仿宋_GB2312" w:eastAsia="仿宋_GB2312"/>
          <w:sz w:val="28"/>
          <w:szCs w:val="28"/>
        </w:rPr>
        <w:t>市召开。理事、常务理事单位主要负责人出席会议，协会监事会成员列席会议。会议应到105人，实到80人，请假和缺席25人，符合章程规定人数。会议由罗诗明会长主持。现将会议内容纪要如下：</w:t>
      </w:r>
    </w:p>
    <w:p>
      <w:pPr>
        <w:keepNext w:val="0"/>
        <w:keepLines w:val="0"/>
        <w:pageBreakBefore w:val="0"/>
        <w:widowControl w:val="0"/>
        <w:kinsoku/>
        <w:wordWrap/>
        <w:overflowPunct/>
        <w:topLinePunct w:val="0"/>
        <w:autoSpaceDE/>
        <w:autoSpaceDN/>
        <w:bidi w:val="0"/>
        <w:adjustRightInd/>
        <w:snapToGrid/>
        <w:spacing w:line="420" w:lineRule="exact"/>
        <w:ind w:firstLine="672"/>
        <w:textAlignment w:val="auto"/>
        <w:rPr>
          <w:rFonts w:hint="eastAsia" w:ascii="黑体" w:hAnsi="黑体" w:eastAsia="黑体"/>
          <w:sz w:val="28"/>
          <w:szCs w:val="28"/>
        </w:rPr>
      </w:pPr>
      <w:r>
        <w:rPr>
          <w:rFonts w:hint="eastAsia" w:ascii="黑体" w:hAnsi="黑体" w:eastAsia="黑体"/>
          <w:sz w:val="28"/>
          <w:szCs w:val="28"/>
        </w:rPr>
        <w:t>一、会议的主要议题</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2"/>
        <w:rPr>
          <w:rFonts w:hint="eastAsia" w:ascii="仿宋_GB2312" w:eastAsia="仿宋_GB2312"/>
          <w:sz w:val="28"/>
          <w:szCs w:val="28"/>
          <w:lang w:eastAsia="zh-CN"/>
        </w:rPr>
      </w:pPr>
      <w:r>
        <w:rPr>
          <w:rFonts w:hint="eastAsia" w:ascii="仿宋_GB2312" w:eastAsia="仿宋_GB2312"/>
          <w:sz w:val="28"/>
          <w:szCs w:val="28"/>
        </w:rPr>
        <w:t>会议的主要议题是：《</w:t>
      </w:r>
      <w:r>
        <w:rPr>
          <w:rFonts w:hint="eastAsia" w:ascii="仿宋_GB2312" w:eastAsia="仿宋_GB2312"/>
          <w:sz w:val="28"/>
          <w:szCs w:val="28"/>
          <w:lang w:eastAsia="zh-CN"/>
        </w:rPr>
        <w:t>通报协会四届四次会员大会的筹备情况</w:t>
      </w:r>
      <w:r>
        <w:rPr>
          <w:rFonts w:hint="eastAsia" w:ascii="仿宋_GB2312" w:eastAsia="仿宋_GB2312"/>
          <w:sz w:val="28"/>
          <w:szCs w:val="28"/>
        </w:rPr>
        <w:t>》</w:t>
      </w:r>
      <w:r>
        <w:rPr>
          <w:rFonts w:hint="eastAsia" w:ascii="仿宋_GB2312" w:eastAsia="仿宋_GB2312"/>
          <w:sz w:val="28"/>
          <w:szCs w:val="28"/>
          <w:lang w:eastAsia="zh-CN"/>
        </w:rPr>
        <w:t>、《</w:t>
      </w:r>
      <w:r>
        <w:rPr>
          <w:rFonts w:hint="eastAsia" w:ascii="仿宋_GB2312" w:eastAsia="仿宋_GB2312"/>
          <w:sz w:val="28"/>
          <w:szCs w:val="28"/>
        </w:rPr>
        <w:t>审议2019年重新开展广西拍卖行业企业信用等级评估意见</w:t>
      </w:r>
      <w:r>
        <w:rPr>
          <w:rFonts w:hint="eastAsia" w:ascii="仿宋_GB2312" w:eastAsia="仿宋_GB2312"/>
          <w:sz w:val="28"/>
          <w:szCs w:val="28"/>
          <w:lang w:eastAsia="zh-CN"/>
        </w:rPr>
        <w:t>》、《</w:t>
      </w:r>
      <w:r>
        <w:rPr>
          <w:rFonts w:hint="eastAsia" w:ascii="仿宋_GB2312" w:eastAsia="仿宋_GB2312"/>
          <w:sz w:val="28"/>
          <w:szCs w:val="28"/>
        </w:rPr>
        <w:t>审议广西拍卖行业协会关于2018年度财务情况的报告</w:t>
      </w:r>
      <w:r>
        <w:rPr>
          <w:rFonts w:hint="eastAsia" w:ascii="仿宋_GB2312" w:eastAsia="仿宋_GB2312"/>
          <w:sz w:val="28"/>
          <w:szCs w:val="28"/>
          <w:lang w:eastAsia="zh-CN"/>
        </w:rPr>
        <w:t>》、《</w:t>
      </w:r>
      <w:r>
        <w:rPr>
          <w:rFonts w:hint="eastAsia" w:ascii="仿宋_GB2312" w:eastAsia="仿宋_GB2312"/>
          <w:sz w:val="28"/>
          <w:szCs w:val="28"/>
          <w:lang w:val="en-US" w:eastAsia="zh-CN"/>
        </w:rPr>
        <w:t>审议通过常务理事单位调整为会员单位的报告》、《</w:t>
      </w:r>
      <w:r>
        <w:rPr>
          <w:rFonts w:hint="eastAsia" w:ascii="仿宋_GB2312" w:eastAsia="仿宋_GB2312"/>
          <w:sz w:val="28"/>
          <w:szCs w:val="28"/>
        </w:rPr>
        <w:t>审议通过理事单位</w:t>
      </w:r>
      <w:r>
        <w:rPr>
          <w:rFonts w:hint="eastAsia" w:ascii="仿宋_GB2312" w:eastAsia="仿宋_GB2312"/>
          <w:sz w:val="28"/>
          <w:szCs w:val="28"/>
          <w:lang w:eastAsia="zh-CN"/>
        </w:rPr>
        <w:t>调整</w:t>
      </w:r>
      <w:r>
        <w:rPr>
          <w:rFonts w:hint="eastAsia" w:ascii="仿宋_GB2312" w:eastAsia="仿宋_GB2312"/>
          <w:sz w:val="28"/>
          <w:szCs w:val="28"/>
        </w:rPr>
        <w:t>为会员单位的报告</w:t>
      </w:r>
      <w:r>
        <w:rPr>
          <w:rFonts w:hint="eastAsia" w:ascii="仿宋_GB2312" w:eastAsia="仿宋_GB2312"/>
          <w:sz w:val="28"/>
          <w:szCs w:val="28"/>
          <w:lang w:eastAsia="zh-CN"/>
        </w:rPr>
        <w:t>》、《</w:t>
      </w:r>
      <w:r>
        <w:rPr>
          <w:rFonts w:hint="eastAsia" w:ascii="仿宋_GB2312" w:eastAsia="仿宋_GB2312"/>
          <w:sz w:val="28"/>
          <w:szCs w:val="28"/>
        </w:rPr>
        <w:t>审议广西拍卖行业协会关于发展新会员的报告</w:t>
      </w:r>
      <w:r>
        <w:rPr>
          <w:rFonts w:hint="eastAsia" w:ascii="仿宋_GB2312" w:eastAsia="仿宋_GB2312"/>
          <w:sz w:val="28"/>
          <w:szCs w:val="28"/>
          <w:lang w:eastAsia="zh-CN"/>
        </w:rPr>
        <w:t>》、《</w:t>
      </w:r>
      <w:r>
        <w:rPr>
          <w:rFonts w:hint="eastAsia" w:ascii="仿宋_GB2312" w:eastAsia="仿宋_GB2312"/>
          <w:sz w:val="28"/>
          <w:szCs w:val="28"/>
        </w:rPr>
        <w:t>审议广西拍卖行业协会关于会员单位自动退会的报告</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672"/>
        <w:textAlignment w:val="auto"/>
        <w:rPr>
          <w:rFonts w:hint="eastAsia" w:ascii="黑体" w:hAnsi="黑体" w:eastAsia="黑体"/>
          <w:sz w:val="28"/>
          <w:szCs w:val="28"/>
        </w:rPr>
      </w:pPr>
      <w:r>
        <w:rPr>
          <w:rFonts w:hint="eastAsia" w:ascii="黑体" w:hAnsi="黑体" w:eastAsia="黑体"/>
          <w:sz w:val="28"/>
          <w:szCs w:val="28"/>
        </w:rPr>
        <w:t>二、审议通过有关报告</w:t>
      </w:r>
    </w:p>
    <w:p>
      <w:pPr>
        <w:keepNext w:val="0"/>
        <w:keepLines w:val="0"/>
        <w:pageBreakBefore w:val="0"/>
        <w:widowControl w:val="0"/>
        <w:kinsoku/>
        <w:wordWrap/>
        <w:overflowPunct/>
        <w:topLinePunct w:val="0"/>
        <w:autoSpaceDE/>
        <w:autoSpaceDN/>
        <w:bidi w:val="0"/>
        <w:adjustRightInd/>
        <w:snapToGrid/>
        <w:spacing w:line="420" w:lineRule="exact"/>
        <w:ind w:firstLine="672"/>
        <w:textAlignment w:val="auto"/>
        <w:rPr>
          <w:rFonts w:hint="eastAsia" w:ascii="仿宋_GB2312" w:eastAsia="仿宋_GB2312"/>
          <w:sz w:val="28"/>
          <w:szCs w:val="28"/>
        </w:rPr>
      </w:pPr>
      <w:r>
        <w:rPr>
          <w:rFonts w:hint="eastAsia" w:ascii="仿宋_GB2312" w:eastAsia="仿宋_GB2312"/>
          <w:sz w:val="28"/>
          <w:szCs w:val="28"/>
        </w:rPr>
        <w:t>会议以</w:t>
      </w:r>
      <w:r>
        <w:rPr>
          <w:rFonts w:hint="eastAsia" w:ascii="仿宋_GB2312" w:eastAsia="仿宋_GB2312"/>
          <w:sz w:val="28"/>
          <w:szCs w:val="28"/>
          <w:lang w:eastAsia="zh-CN"/>
        </w:rPr>
        <w:t>举手</w:t>
      </w:r>
      <w:r>
        <w:rPr>
          <w:rFonts w:hint="eastAsia" w:ascii="仿宋_GB2312" w:eastAsia="仿宋_GB2312"/>
          <w:sz w:val="28"/>
          <w:szCs w:val="28"/>
        </w:rPr>
        <w:t>表决方式通过了上述报告。会议通过了《</w:t>
      </w:r>
      <w:r>
        <w:rPr>
          <w:rFonts w:hint="eastAsia" w:ascii="仿宋_GB2312" w:eastAsia="仿宋_GB2312"/>
          <w:sz w:val="28"/>
          <w:szCs w:val="28"/>
          <w:lang w:val="en-US" w:eastAsia="zh-CN"/>
        </w:rPr>
        <w:t>2019年重新</w:t>
      </w:r>
      <w:r>
        <w:rPr>
          <w:rFonts w:hint="eastAsia" w:ascii="仿宋_GB2312" w:eastAsia="仿宋_GB2312"/>
          <w:sz w:val="28"/>
          <w:szCs w:val="28"/>
        </w:rPr>
        <w:t>开展广西拍卖行业企业信用等级评估</w:t>
      </w:r>
      <w:r>
        <w:rPr>
          <w:rFonts w:hint="eastAsia" w:ascii="仿宋_GB2312" w:eastAsia="仿宋_GB2312"/>
          <w:sz w:val="28"/>
          <w:szCs w:val="28"/>
          <w:lang w:eastAsia="zh-CN"/>
        </w:rPr>
        <w:t>方案（征求意见稿）</w:t>
      </w:r>
      <w:r>
        <w:rPr>
          <w:rFonts w:hint="eastAsia" w:ascii="仿宋_GB2312" w:eastAsia="仿宋_GB2312"/>
          <w:sz w:val="28"/>
          <w:szCs w:val="28"/>
        </w:rPr>
        <w:t>》、</w:t>
      </w:r>
      <w:r>
        <w:rPr>
          <w:rFonts w:hint="eastAsia" w:ascii="仿宋_GB2312" w:eastAsia="仿宋_GB2312"/>
          <w:sz w:val="28"/>
          <w:szCs w:val="28"/>
          <w:lang w:eastAsia="zh-CN"/>
        </w:rPr>
        <w:t>《</w:t>
      </w:r>
      <w:r>
        <w:rPr>
          <w:rFonts w:hint="eastAsia" w:ascii="仿宋_GB2312" w:eastAsia="仿宋_GB2312"/>
          <w:sz w:val="28"/>
          <w:szCs w:val="28"/>
        </w:rPr>
        <w:t>广西拍卖行业协会关于2018年度财务情况的报告</w:t>
      </w:r>
      <w:r>
        <w:rPr>
          <w:rFonts w:hint="eastAsia" w:ascii="仿宋_GB2312" w:eastAsia="仿宋_GB2312"/>
          <w:sz w:val="28"/>
          <w:szCs w:val="28"/>
          <w:lang w:eastAsia="zh-CN"/>
        </w:rPr>
        <w:t>》、《广西拍卖行业协会关于将</w:t>
      </w:r>
      <w:r>
        <w:rPr>
          <w:rFonts w:hint="eastAsia" w:ascii="仿宋_GB2312" w:eastAsia="仿宋_GB2312"/>
          <w:sz w:val="28"/>
          <w:szCs w:val="28"/>
          <w:lang w:val="en-US" w:eastAsia="zh-CN"/>
        </w:rPr>
        <w:t>常务理事单位、理事单位调整为会员单位的报告》、《广西拍卖行业协会关于发展新</w:t>
      </w:r>
      <w:r>
        <w:rPr>
          <w:rFonts w:hint="eastAsia" w:ascii="仿宋_GB2312" w:eastAsia="仿宋_GB2312"/>
          <w:sz w:val="28"/>
          <w:szCs w:val="28"/>
        </w:rPr>
        <w:t>会员的报告</w:t>
      </w:r>
      <w:r>
        <w:rPr>
          <w:rFonts w:hint="eastAsia" w:ascii="仿宋_GB2312" w:eastAsia="仿宋_GB2312"/>
          <w:sz w:val="28"/>
          <w:szCs w:val="28"/>
          <w:lang w:eastAsia="zh-CN"/>
        </w:rPr>
        <w:t>》、《广西拍卖行业协会关于</w:t>
      </w:r>
      <w:r>
        <w:rPr>
          <w:rFonts w:hint="eastAsia" w:ascii="仿宋_GB2312" w:eastAsia="仿宋_GB2312"/>
          <w:sz w:val="28"/>
          <w:szCs w:val="28"/>
        </w:rPr>
        <w:t>会员单位自动退会的报告</w:t>
      </w:r>
      <w:r>
        <w:rPr>
          <w:rFonts w:hint="eastAsia" w:ascii="仿宋_GB2312" w:eastAsia="仿宋_GB2312"/>
          <w:sz w:val="28"/>
          <w:szCs w:val="28"/>
          <w:lang w:eastAsia="zh-CN"/>
        </w:rPr>
        <w:t>》</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420" w:lineRule="exact"/>
        <w:ind w:firstLine="672"/>
        <w:textAlignment w:val="auto"/>
        <w:rPr>
          <w:rFonts w:hint="eastAsia" w:ascii="黑体" w:hAnsi="黑体" w:eastAsia="黑体"/>
          <w:sz w:val="28"/>
          <w:szCs w:val="28"/>
        </w:rPr>
      </w:pPr>
      <w:r>
        <w:rPr>
          <w:rFonts w:hint="eastAsia" w:ascii="黑体" w:hAnsi="黑体" w:eastAsia="黑体"/>
          <w:sz w:val="28"/>
          <w:szCs w:val="28"/>
        </w:rPr>
        <w:t>三、罗诗明会长作会议总结</w:t>
      </w:r>
    </w:p>
    <w:p>
      <w:pPr>
        <w:keepNext w:val="0"/>
        <w:keepLines w:val="0"/>
        <w:pageBreakBefore w:val="0"/>
        <w:widowControl w:val="0"/>
        <w:kinsoku/>
        <w:wordWrap/>
        <w:overflowPunct/>
        <w:topLinePunct w:val="0"/>
        <w:autoSpaceDE/>
        <w:autoSpaceDN/>
        <w:bidi w:val="0"/>
        <w:adjustRightInd/>
        <w:snapToGrid/>
        <w:spacing w:line="420" w:lineRule="exact"/>
        <w:ind w:firstLine="672"/>
        <w:textAlignment w:val="auto"/>
        <w:rPr>
          <w:rFonts w:hint="eastAsia" w:ascii="仿宋_GB2312" w:eastAsia="仿宋_GB2312"/>
          <w:sz w:val="28"/>
          <w:szCs w:val="28"/>
        </w:rPr>
      </w:pPr>
      <w:r>
        <w:rPr>
          <w:rFonts w:hint="eastAsia" w:ascii="仿宋_GB2312" w:eastAsia="仿宋_GB2312"/>
          <w:sz w:val="28"/>
          <w:szCs w:val="28"/>
        </w:rPr>
        <w:t>罗诗明会长首先感谢各位理事、常务理事多年来对协会工作的积极参与、关心、理解与大力支持。各位理事、常务理事认真履职尽责，充分体现了对行业发展的责任与相当，特别是在当前行业遇到困难的情况下，协会和行业工作迫切需要大家精诚团结，群策群力，希望大家继续一如既往的关心支持协会工作；希望秘书处的同志适应新时代发展的要求，以服务行业、服务会员为工作的出发点和落脚点，以满足会员一切需要为目标，努力提升服务能力、服务质量、服务效率，使协会工作水平再上一个新的台阶。</w:t>
      </w:r>
    </w:p>
    <w:p>
      <w:pPr>
        <w:rPr>
          <w:rFonts w:hint="eastAsia" w:ascii="仿宋_GB2312" w:eastAsia="仿宋_GB2312"/>
          <w:sz w:val="32"/>
          <w:szCs w:val="32"/>
        </w:rPr>
      </w:pPr>
    </w:p>
    <w:p>
      <w:pPr>
        <w:jc w:val="center"/>
        <w:rPr>
          <w:rFonts w:hint="eastAsia" w:ascii="黑体" w:hAnsi="黑体" w:eastAsia="黑体"/>
          <w:sz w:val="36"/>
          <w:szCs w:val="36"/>
        </w:rPr>
      </w:pPr>
      <w:r>
        <w:rPr>
          <w:rFonts w:hint="eastAsia" w:ascii="黑体" w:hAnsi="黑体" w:eastAsia="黑体"/>
          <w:sz w:val="36"/>
          <w:szCs w:val="36"/>
        </w:rPr>
        <w:t>广西拍卖行业协会四届</w:t>
      </w:r>
      <w:r>
        <w:rPr>
          <w:rFonts w:hint="eastAsia" w:ascii="黑体" w:hAnsi="黑体" w:eastAsia="黑体"/>
          <w:sz w:val="36"/>
          <w:szCs w:val="36"/>
          <w:lang w:eastAsia="zh-CN"/>
        </w:rPr>
        <w:t>四</w:t>
      </w:r>
      <w:r>
        <w:rPr>
          <w:rFonts w:hint="eastAsia" w:ascii="黑体" w:hAnsi="黑体" w:eastAsia="黑体"/>
          <w:sz w:val="36"/>
          <w:szCs w:val="36"/>
        </w:rPr>
        <w:t>次会员大会会议纪要</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仿宋_GB2312" w:eastAsia="仿宋_GB2312"/>
          <w:sz w:val="28"/>
          <w:szCs w:val="28"/>
        </w:rPr>
      </w:pPr>
      <w:r>
        <w:rPr>
          <w:rFonts w:hint="eastAsia" w:ascii="仿宋_GB2312" w:eastAsia="仿宋_GB2312"/>
          <w:sz w:val="28"/>
          <w:szCs w:val="28"/>
        </w:rPr>
        <w:t>广西拍卖行业协会四届</w:t>
      </w:r>
      <w:r>
        <w:rPr>
          <w:rFonts w:hint="eastAsia" w:ascii="仿宋_GB2312" w:eastAsia="仿宋_GB2312"/>
          <w:sz w:val="28"/>
          <w:szCs w:val="28"/>
          <w:lang w:eastAsia="zh-CN"/>
        </w:rPr>
        <w:t>四</w:t>
      </w:r>
      <w:r>
        <w:rPr>
          <w:rFonts w:hint="eastAsia" w:ascii="仿宋_GB2312" w:eastAsia="仿宋_GB2312"/>
          <w:sz w:val="28"/>
          <w:szCs w:val="28"/>
        </w:rPr>
        <w:t>次会员大会于201</w:t>
      </w:r>
      <w:r>
        <w:rPr>
          <w:rFonts w:hint="eastAsia" w:ascii="仿宋_GB2312" w:eastAsia="仿宋_GB2312"/>
          <w:sz w:val="28"/>
          <w:szCs w:val="28"/>
          <w:lang w:val="en-US" w:eastAsia="zh-CN"/>
        </w:rPr>
        <w:t>9</w:t>
      </w:r>
      <w:r>
        <w:rPr>
          <w:rFonts w:hint="eastAsia" w:ascii="仿宋_GB2312" w:eastAsia="仿宋_GB2312"/>
          <w:sz w:val="28"/>
          <w:szCs w:val="28"/>
        </w:rPr>
        <w:t>年4月2</w:t>
      </w:r>
      <w:r>
        <w:rPr>
          <w:rFonts w:hint="eastAsia" w:ascii="仿宋_GB2312" w:eastAsia="仿宋_GB2312"/>
          <w:sz w:val="28"/>
          <w:szCs w:val="28"/>
          <w:lang w:val="en-US" w:eastAsia="zh-CN"/>
        </w:rPr>
        <w:t>5</w:t>
      </w:r>
      <w:r>
        <w:rPr>
          <w:rFonts w:hint="eastAsia" w:ascii="仿宋_GB2312" w:eastAsia="仿宋_GB2312"/>
          <w:sz w:val="28"/>
          <w:szCs w:val="28"/>
        </w:rPr>
        <w:t>日在</w:t>
      </w:r>
      <w:r>
        <w:rPr>
          <w:rFonts w:hint="eastAsia" w:ascii="仿宋_GB2312" w:eastAsia="仿宋_GB2312"/>
          <w:sz w:val="28"/>
          <w:szCs w:val="28"/>
          <w:lang w:eastAsia="zh-CN"/>
        </w:rPr>
        <w:t>南宁</w:t>
      </w:r>
      <w:r>
        <w:rPr>
          <w:rFonts w:hint="eastAsia" w:ascii="仿宋_GB2312" w:eastAsia="仿宋_GB2312"/>
          <w:sz w:val="28"/>
          <w:szCs w:val="28"/>
        </w:rPr>
        <w:t>市召开，各会员单位和新</w:t>
      </w:r>
      <w:r>
        <w:rPr>
          <w:rFonts w:hint="eastAsia" w:ascii="仿宋_GB2312" w:eastAsia="仿宋_GB2312"/>
          <w:sz w:val="28"/>
          <w:szCs w:val="28"/>
          <w:lang w:eastAsia="zh-CN"/>
        </w:rPr>
        <w:t>入会的</w:t>
      </w:r>
      <w:r>
        <w:rPr>
          <w:rFonts w:hint="eastAsia" w:ascii="仿宋_GB2312" w:eastAsia="仿宋_GB2312"/>
          <w:sz w:val="28"/>
          <w:szCs w:val="28"/>
        </w:rPr>
        <w:t>公司主要负责人参加大会。大会应到264人，实到220人，请假20人，缺席24人。符合章程规定人数。</w:t>
      </w:r>
      <w:r>
        <w:rPr>
          <w:rFonts w:hint="eastAsia" w:ascii="仿宋_GB2312" w:eastAsia="仿宋_GB2312"/>
          <w:sz w:val="28"/>
          <w:szCs w:val="28"/>
          <w:lang w:eastAsia="zh-CN"/>
        </w:rPr>
        <w:t>自治区商务厅助理巡视员瞿国堂、自治区工商市场监督管理局科长雷俊到会并分别致词，自治区商务厅流通处</w:t>
      </w:r>
      <w:r>
        <w:rPr>
          <w:rFonts w:hint="eastAsia" w:ascii="仿宋_GB2312" w:eastAsia="仿宋_GB2312"/>
          <w:sz w:val="28"/>
          <w:szCs w:val="28"/>
        </w:rPr>
        <w:t>调研员杨庆廷</w:t>
      </w:r>
      <w:r>
        <w:rPr>
          <w:rFonts w:hint="eastAsia" w:ascii="仿宋_GB2312" w:eastAsia="仿宋_GB2312"/>
          <w:sz w:val="28"/>
          <w:szCs w:val="28"/>
          <w:lang w:eastAsia="zh-CN"/>
        </w:rPr>
        <w:t>也出席了会议</w:t>
      </w:r>
      <w:r>
        <w:rPr>
          <w:rFonts w:hint="eastAsia" w:ascii="仿宋_GB2312" w:eastAsia="仿宋_GB2312"/>
          <w:sz w:val="28"/>
          <w:szCs w:val="28"/>
        </w:rPr>
        <w:t>。会议由协会秘书处卓祖英同志主持，罗诗明会长作工作报告。</w:t>
      </w:r>
      <w:r>
        <w:rPr>
          <w:rFonts w:hint="eastAsia" w:ascii="仿宋_GB2312" w:eastAsia="仿宋_GB2312"/>
          <w:sz w:val="28"/>
          <w:szCs w:val="28"/>
          <w:lang w:eastAsia="zh-CN"/>
        </w:rPr>
        <w:t>广西</w:t>
      </w:r>
      <w:r>
        <w:rPr>
          <w:rFonts w:hint="eastAsia" w:ascii="仿宋_GB2312" w:eastAsia="仿宋_GB2312"/>
          <w:sz w:val="28"/>
          <w:szCs w:val="28"/>
        </w:rPr>
        <w:t>电视台等新闻媒体对大会的召开进行了宣传报道。现将大会内容纪要如下：</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黑体" w:hAnsi="黑体" w:eastAsia="黑体"/>
          <w:sz w:val="28"/>
          <w:szCs w:val="28"/>
        </w:rPr>
      </w:pPr>
      <w:r>
        <w:rPr>
          <w:rFonts w:hint="eastAsia" w:ascii="黑体" w:hAnsi="黑体" w:eastAsia="黑体"/>
          <w:sz w:val="28"/>
          <w:szCs w:val="28"/>
        </w:rPr>
        <w:t>一、大会的主题</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仿宋_GB2312" w:eastAsia="仿宋_GB2312"/>
          <w:color w:val="000000"/>
          <w:sz w:val="28"/>
          <w:szCs w:val="28"/>
        </w:rPr>
      </w:pPr>
      <w:r>
        <w:rPr>
          <w:rFonts w:hint="eastAsia" w:ascii="仿宋_GB2312" w:eastAsia="仿宋_GB2312"/>
          <w:color w:val="000000"/>
          <w:sz w:val="28"/>
          <w:szCs w:val="28"/>
        </w:rPr>
        <w:t>一是传达中国拍卖行业协会五届六次常务理事会精神；二是总结2018年协会工作，部署2019年工作；三是表彰2018年度广西先进拍卖企业、广西拍卖行业统计工作先进单位、</w:t>
      </w:r>
      <w:r>
        <w:rPr>
          <w:rFonts w:hint="eastAsia" w:ascii="仿宋_GB2312" w:eastAsia="仿宋_GB2312"/>
          <w:color w:val="000000"/>
          <w:sz w:val="28"/>
          <w:szCs w:val="28"/>
          <w:lang w:eastAsia="zh-CN"/>
        </w:rPr>
        <w:t>广西拍卖行业“优秀企业家”、广西拍卖行业“创新企业”、</w:t>
      </w:r>
      <w:r>
        <w:rPr>
          <w:rFonts w:hint="eastAsia" w:ascii="仿宋_GB2312" w:eastAsia="仿宋_GB2312"/>
          <w:color w:val="000000"/>
          <w:sz w:val="28"/>
          <w:szCs w:val="28"/>
        </w:rPr>
        <w:t>广西优秀拍卖师、《广西拍卖通讯》优秀通讯员；四是召开全区拍卖行业经验交流会；五是</w:t>
      </w:r>
      <w:r>
        <w:rPr>
          <w:rFonts w:hint="eastAsia" w:ascii="仿宋_GB2312" w:eastAsia="仿宋_GB2312"/>
          <w:color w:val="000000"/>
          <w:sz w:val="28"/>
          <w:szCs w:val="28"/>
          <w:lang w:eastAsia="zh-CN"/>
        </w:rPr>
        <w:t>协会与阿里巴巴（中国）有限公司签订战略合作协议；六是</w:t>
      </w:r>
      <w:r>
        <w:rPr>
          <w:rFonts w:hint="eastAsia" w:ascii="仿宋_GB2312" w:eastAsia="仿宋_GB2312"/>
          <w:color w:val="000000"/>
          <w:sz w:val="28"/>
          <w:szCs w:val="28"/>
        </w:rPr>
        <w:t>邀请阿里巴巴集团、阿里拍卖业务发展专家袁儒就阿里拍卖平台与广西拍卖行业线下拍卖资源深度合作作业务培训。</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黑体" w:hAnsi="黑体" w:eastAsia="黑体" w:cs="黑体"/>
          <w:color w:val="000000"/>
          <w:sz w:val="28"/>
          <w:szCs w:val="28"/>
          <w:lang w:eastAsia="zh-CN"/>
        </w:rPr>
      </w:pPr>
      <w:r>
        <w:rPr>
          <w:rFonts w:hint="eastAsia" w:ascii="黑体" w:hAnsi="黑体" w:eastAsia="黑体" w:cs="黑体"/>
          <w:color w:val="000000"/>
          <w:sz w:val="28"/>
          <w:szCs w:val="28"/>
          <w:lang w:eastAsia="zh-CN"/>
        </w:rPr>
        <w:t>二、会议通过工作报告</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仿宋_GB2312" w:eastAsia="仿宋_GB2312"/>
          <w:sz w:val="28"/>
          <w:szCs w:val="28"/>
        </w:rPr>
      </w:pPr>
      <w:r>
        <w:rPr>
          <w:rFonts w:hint="eastAsia" w:ascii="仿宋_GB2312" w:eastAsia="仿宋_GB2312"/>
          <w:color w:val="000000"/>
          <w:sz w:val="28"/>
          <w:szCs w:val="28"/>
          <w:lang w:eastAsia="zh-CN"/>
        </w:rPr>
        <w:t>罗诗明会长代表理事会作四届四次会员大会工作报告。报告总结了</w:t>
      </w:r>
      <w:r>
        <w:rPr>
          <w:rFonts w:hint="eastAsia" w:ascii="仿宋_GB2312" w:eastAsia="仿宋_GB2312"/>
          <w:color w:val="000000"/>
          <w:sz w:val="28"/>
          <w:szCs w:val="28"/>
          <w:lang w:val="en-US" w:eastAsia="zh-CN"/>
        </w:rPr>
        <w:t>2018年行业经营情况和协会工作。（一）行业经营情况。2018年是极不平凡的一年，随着司法自主网络拍卖政策的调整，全区拍卖行业人主动适应行业发展的变化，克服困难，千方百计开拓新的拍卖领域，谋求新的发展，取得了较好成绩。据统计，2018年全区拍卖成交总额为151.8亿元，同比增长64.2%，拍卖场次1928场，同比下降1.3%，佣金收入1.66亿元，同比增长13.58%。（二）</w:t>
      </w:r>
      <w:r>
        <w:rPr>
          <w:rFonts w:hint="eastAsia" w:ascii="仿宋_GB2312" w:eastAsia="仿宋_GB2312"/>
          <w:sz w:val="28"/>
          <w:szCs w:val="28"/>
        </w:rPr>
        <w:t>拍卖行业发展总体仍趋稳定。201</w:t>
      </w:r>
      <w:r>
        <w:rPr>
          <w:rFonts w:hint="eastAsia" w:ascii="仿宋_GB2312" w:eastAsia="仿宋_GB2312"/>
          <w:sz w:val="28"/>
          <w:szCs w:val="28"/>
          <w:lang w:val="en-US" w:eastAsia="zh-CN"/>
        </w:rPr>
        <w:t>7</w:t>
      </w:r>
      <w:r>
        <w:rPr>
          <w:rFonts w:hint="eastAsia" w:ascii="仿宋_GB2312" w:eastAsia="仿宋_GB2312"/>
          <w:sz w:val="28"/>
          <w:szCs w:val="28"/>
        </w:rPr>
        <w:t>年度经区商务厅年检合格的拍卖企业有2</w:t>
      </w:r>
      <w:r>
        <w:rPr>
          <w:rFonts w:hint="eastAsia" w:ascii="仿宋_GB2312" w:eastAsia="仿宋_GB2312"/>
          <w:sz w:val="28"/>
          <w:szCs w:val="28"/>
          <w:lang w:val="en-US" w:eastAsia="zh-CN"/>
        </w:rPr>
        <w:t>75</w:t>
      </w:r>
      <w:r>
        <w:rPr>
          <w:rFonts w:hint="eastAsia" w:ascii="仿宋_GB2312" w:eastAsia="仿宋_GB2312"/>
          <w:sz w:val="28"/>
          <w:szCs w:val="28"/>
        </w:rPr>
        <w:t>家（其中14家分公司）。其中新成立1</w:t>
      </w:r>
      <w:r>
        <w:rPr>
          <w:rFonts w:hint="eastAsia" w:ascii="仿宋_GB2312" w:eastAsia="仿宋_GB2312"/>
          <w:sz w:val="28"/>
          <w:szCs w:val="28"/>
          <w:lang w:val="en-US" w:eastAsia="zh-CN"/>
        </w:rPr>
        <w:t>0</w:t>
      </w:r>
      <w:r>
        <w:rPr>
          <w:rFonts w:hint="eastAsia" w:ascii="仿宋_GB2312" w:eastAsia="仿宋_GB2312"/>
          <w:sz w:val="28"/>
          <w:szCs w:val="28"/>
        </w:rPr>
        <w:t>家。年末拍卖行业从业人员总数约</w:t>
      </w:r>
      <w:r>
        <w:rPr>
          <w:rFonts w:hint="eastAsia" w:ascii="仿宋_GB2312" w:eastAsia="仿宋_GB2312"/>
          <w:sz w:val="28"/>
          <w:szCs w:val="28"/>
          <w:lang w:val="en-US" w:eastAsia="zh-CN"/>
        </w:rPr>
        <w:t>40</w:t>
      </w:r>
      <w:r>
        <w:rPr>
          <w:rFonts w:hint="eastAsia" w:ascii="仿宋_GB2312" w:eastAsia="仿宋_GB2312"/>
          <w:sz w:val="28"/>
          <w:szCs w:val="28"/>
        </w:rPr>
        <w:t>00人。国家注册拍卖师3</w:t>
      </w:r>
      <w:r>
        <w:rPr>
          <w:rFonts w:hint="eastAsia" w:ascii="仿宋_GB2312" w:eastAsia="仿宋_GB2312"/>
          <w:sz w:val="28"/>
          <w:szCs w:val="28"/>
          <w:lang w:val="en-US" w:eastAsia="zh-CN"/>
        </w:rPr>
        <w:t>70</w:t>
      </w:r>
      <w:r>
        <w:rPr>
          <w:rFonts w:hint="eastAsia" w:ascii="仿宋_GB2312" w:eastAsia="仿宋_GB2312"/>
          <w:sz w:val="28"/>
          <w:szCs w:val="28"/>
        </w:rPr>
        <w:t>人。全区拍卖行业没有发生有违规经营的情况。协会主要做了以下几个方面的工作：一是积极反映企业诉求，为企业创造良好的经营环境；二是</w:t>
      </w:r>
      <w:r>
        <w:rPr>
          <w:rFonts w:hint="eastAsia" w:ascii="仿宋_GB2312" w:eastAsia="仿宋_GB2312"/>
          <w:sz w:val="28"/>
          <w:szCs w:val="28"/>
          <w:lang w:eastAsia="zh-CN"/>
        </w:rPr>
        <w:t>积极向区直有关部门反映企业的呼声；</w:t>
      </w:r>
      <w:r>
        <w:rPr>
          <w:rFonts w:hint="eastAsia" w:ascii="仿宋_GB2312" w:eastAsia="仿宋_GB2312"/>
          <w:sz w:val="28"/>
          <w:szCs w:val="28"/>
        </w:rPr>
        <w:t>三是协助中拍协做好201</w:t>
      </w:r>
      <w:r>
        <w:rPr>
          <w:rFonts w:hint="eastAsia" w:ascii="仿宋_GB2312" w:eastAsia="仿宋_GB2312"/>
          <w:sz w:val="28"/>
          <w:szCs w:val="28"/>
          <w:lang w:val="en-US" w:eastAsia="zh-CN"/>
        </w:rPr>
        <w:t>8</w:t>
      </w:r>
      <w:r>
        <w:rPr>
          <w:rFonts w:hint="eastAsia" w:ascii="仿宋_GB2312" w:eastAsia="仿宋_GB2312"/>
          <w:sz w:val="28"/>
          <w:szCs w:val="28"/>
        </w:rPr>
        <w:t>年拍卖企业等级评估工作；四是</w:t>
      </w:r>
      <w:r>
        <w:rPr>
          <w:rFonts w:hint="eastAsia" w:ascii="仿宋_GB2312" w:eastAsia="仿宋_GB2312"/>
          <w:sz w:val="28"/>
          <w:szCs w:val="28"/>
          <w:lang w:eastAsia="zh-CN"/>
        </w:rPr>
        <w:t>邀请中国拍卖行业专家到广西作专题讲座；五是</w:t>
      </w:r>
      <w:r>
        <w:rPr>
          <w:rFonts w:hint="eastAsia" w:ascii="仿宋_GB2312" w:eastAsia="仿宋_GB2312"/>
          <w:sz w:val="28"/>
          <w:szCs w:val="28"/>
        </w:rPr>
        <w:t>协调解决拍卖业务纠纷；</w:t>
      </w:r>
      <w:r>
        <w:rPr>
          <w:rFonts w:hint="eastAsia" w:ascii="仿宋_GB2312" w:eastAsia="仿宋_GB2312"/>
          <w:sz w:val="28"/>
          <w:szCs w:val="28"/>
          <w:lang w:eastAsia="zh-CN"/>
        </w:rPr>
        <w:t>六</w:t>
      </w:r>
      <w:r>
        <w:rPr>
          <w:rFonts w:hint="eastAsia" w:ascii="仿宋_GB2312" w:eastAsia="仿宋_GB2312"/>
          <w:sz w:val="28"/>
          <w:szCs w:val="28"/>
        </w:rPr>
        <w:t>是</w:t>
      </w:r>
      <w:r>
        <w:rPr>
          <w:rFonts w:hint="eastAsia" w:ascii="仿宋_GB2312" w:eastAsia="仿宋_GB2312"/>
          <w:sz w:val="28"/>
          <w:szCs w:val="28"/>
          <w:lang w:eastAsia="zh-CN"/>
        </w:rPr>
        <w:t>适应司法拍卖委托变化，开展线下辅助工作；七是开拓经营，在谋发展上探索出新的路子；</w:t>
      </w:r>
      <w:r>
        <w:rPr>
          <w:rFonts w:hint="eastAsia" w:ascii="仿宋_GB2312" w:eastAsia="仿宋_GB2312"/>
          <w:sz w:val="28"/>
          <w:szCs w:val="28"/>
        </w:rPr>
        <w:t>八是抓好行业创先争优、培育行业品牌；九是拍卖统计工作取得好成绩；十是完成中国拍卖行业协会安排的各项工作；十一是开展慈善义拍活动，资助公益事业；十二</w:t>
      </w:r>
      <w:r>
        <w:rPr>
          <w:rFonts w:hint="eastAsia" w:ascii="仿宋_GB2312" w:eastAsia="仿宋_GB2312"/>
          <w:sz w:val="28"/>
          <w:szCs w:val="28"/>
          <w:lang w:eastAsia="zh-CN"/>
        </w:rPr>
        <w:t>是举办司法拍卖线下辅助服务培训班；十三</w:t>
      </w:r>
      <w:r>
        <w:rPr>
          <w:rFonts w:hint="eastAsia" w:ascii="仿宋_GB2312" w:eastAsia="仿宋_GB2312"/>
          <w:sz w:val="28"/>
          <w:szCs w:val="28"/>
        </w:rPr>
        <w:t>是做好</w:t>
      </w:r>
      <w:r>
        <w:rPr>
          <w:rFonts w:hint="eastAsia" w:ascii="仿宋_GB2312" w:eastAsia="仿宋_GB2312"/>
          <w:sz w:val="28"/>
          <w:szCs w:val="28"/>
          <w:lang w:eastAsia="zh-CN"/>
        </w:rPr>
        <w:t>为会员</w:t>
      </w:r>
      <w:r>
        <w:rPr>
          <w:rFonts w:hint="eastAsia" w:ascii="仿宋_GB2312" w:eastAsia="仿宋_GB2312"/>
          <w:sz w:val="28"/>
          <w:szCs w:val="28"/>
        </w:rPr>
        <w:t>服务工作。</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黑体" w:hAnsi="黑体" w:eastAsia="黑体"/>
          <w:sz w:val="28"/>
          <w:szCs w:val="28"/>
        </w:rPr>
      </w:pPr>
      <w:r>
        <w:rPr>
          <w:rFonts w:hint="eastAsia" w:ascii="黑体" w:hAnsi="黑体" w:eastAsia="黑体"/>
          <w:sz w:val="28"/>
          <w:szCs w:val="28"/>
        </w:rPr>
        <w:t>三、201</w:t>
      </w:r>
      <w:r>
        <w:rPr>
          <w:rFonts w:hint="eastAsia" w:ascii="黑体" w:hAnsi="黑体" w:eastAsia="黑体"/>
          <w:sz w:val="28"/>
          <w:szCs w:val="28"/>
          <w:lang w:val="en-US" w:eastAsia="zh-CN"/>
        </w:rPr>
        <w:t>9</w:t>
      </w:r>
      <w:r>
        <w:rPr>
          <w:rFonts w:hint="eastAsia" w:ascii="黑体" w:hAnsi="黑体" w:eastAsia="黑体"/>
          <w:sz w:val="28"/>
          <w:szCs w:val="28"/>
        </w:rPr>
        <w:t>年工作思路和工作重点</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仿宋_GB2312" w:eastAsia="仿宋_GB2312"/>
          <w:sz w:val="28"/>
          <w:szCs w:val="28"/>
        </w:rPr>
      </w:pPr>
      <w:r>
        <w:rPr>
          <w:rFonts w:hint="eastAsia" w:ascii="仿宋_GB2312" w:eastAsia="仿宋_GB2312"/>
          <w:b/>
          <w:sz w:val="28"/>
          <w:szCs w:val="28"/>
        </w:rPr>
        <w:t>（一）201</w:t>
      </w:r>
      <w:r>
        <w:rPr>
          <w:rFonts w:hint="eastAsia" w:ascii="仿宋_GB2312" w:eastAsia="仿宋_GB2312"/>
          <w:b/>
          <w:sz w:val="28"/>
          <w:szCs w:val="28"/>
          <w:lang w:val="en-US" w:eastAsia="zh-CN"/>
        </w:rPr>
        <w:t>9</w:t>
      </w:r>
      <w:r>
        <w:rPr>
          <w:rFonts w:hint="eastAsia" w:ascii="仿宋_GB2312" w:eastAsia="仿宋_GB2312"/>
          <w:b/>
          <w:sz w:val="28"/>
          <w:szCs w:val="28"/>
        </w:rPr>
        <w:t>年工作思路</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2019年将迎来建国70周年，也是我国全面决胜建成小康社会的关键一年，在这样的时代背景下，作为改革开放产物和现代服务业组成部分的广西拍卖行业应不忘初心，牢记使命，努力在新时代，新征程中有所作为。</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首先，我们要准确认识当前行业所处的发展阶段和所面临的形势，根据党的十九大对中国特色社会主义新时代和主要矛盾所做科学论断，我们认为当前和今后一个时期将是拍卖行业转型升级的关键时期，也是全行业创新发展的重要关口。全区拍卖行业应围绕社会主要矛盾发生的变化和党的“十九大”提出的“建设现代化经济体系”所指明的方向和释放出的重大机遇，加快体制机制创新，加快新旧动能转换，争取尽快实现行业发展的质量变革、效率变革和动力变革。</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其次，要客观认识行业发展中面临的主要困难和问题。必须看到，当前行业经营仍然困难很多，不少企业创新意识和能力有待加强；行业业务受政策影响仍然较大，业务结构仍有待优化；拍卖的社会认知普及不够，开拓拍卖领域仍有较大提升空间。</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面对机遇与挑战并存的客观情况，全行业应继续认真学习贯彻习近平总书记新时代中国特色社会主义思想和党的十九大精神，进一步认清形势，提振信心，抢抓机遇，开拓创新，提升服务水平，将全区拍卖行业打造成为国民经济发展链条中的新型现代服务业，推动拍卖行业从传统拍卖向更加符合市场规律、价值规律，服务与效益相统一的，集约化、规模化和可持续发展的现代拍卖业转型。</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default" w:ascii="仿宋_GB2312" w:hAnsi="宋体" w:eastAsia="仿宋_GB2312" w:cs="宋体"/>
          <w:b/>
          <w:bCs/>
          <w:color w:val="000000"/>
          <w:sz w:val="28"/>
          <w:szCs w:val="28"/>
          <w:lang w:val="en-US" w:eastAsia="zh-CN"/>
        </w:rPr>
      </w:pPr>
      <w:r>
        <w:rPr>
          <w:rFonts w:hint="eastAsia" w:ascii="仿宋_GB2312" w:hAnsi="宋体" w:eastAsia="仿宋_GB2312" w:cs="宋体"/>
          <w:b/>
          <w:bCs/>
          <w:color w:val="000000"/>
          <w:sz w:val="28"/>
          <w:szCs w:val="28"/>
          <w:lang w:eastAsia="zh-CN"/>
        </w:rPr>
        <w:t>（二）</w:t>
      </w:r>
      <w:r>
        <w:rPr>
          <w:rFonts w:hint="eastAsia" w:ascii="仿宋_GB2312" w:hAnsi="宋体" w:eastAsia="仿宋_GB2312" w:cs="宋体"/>
          <w:b/>
          <w:bCs/>
          <w:color w:val="000000"/>
          <w:sz w:val="28"/>
          <w:szCs w:val="28"/>
          <w:lang w:val="en-US" w:eastAsia="zh-CN"/>
        </w:rPr>
        <w:t>2019年工作重点</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根据党的十九届三中全会精神和自治区经济工作会议确定的总体目标，2019年协会的工作重点是：</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仿宋_GB2312" w:hAnsi="宋体" w:eastAsia="仿宋_GB2312" w:cs="宋体"/>
          <w:b w:val="0"/>
          <w:bCs/>
          <w:color w:val="000000"/>
          <w:sz w:val="28"/>
          <w:szCs w:val="28"/>
        </w:rPr>
      </w:pPr>
      <w:r>
        <w:rPr>
          <w:rFonts w:hint="eastAsia" w:ascii="仿宋_GB2312" w:hAnsi="宋体" w:eastAsia="仿宋_GB2312" w:cs="宋体"/>
          <w:b w:val="0"/>
          <w:bCs/>
          <w:color w:val="000000"/>
          <w:sz w:val="28"/>
          <w:szCs w:val="28"/>
        </w:rPr>
        <w:t>１、加强理念引领，推动行业变革。</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仿宋_GB2312" w:hAnsi="宋体" w:eastAsia="仿宋_GB2312" w:cs="宋体"/>
          <w:b w:val="0"/>
          <w:bCs/>
          <w:color w:val="000000"/>
          <w:sz w:val="28"/>
          <w:szCs w:val="28"/>
        </w:rPr>
      </w:pPr>
      <w:r>
        <w:rPr>
          <w:rFonts w:hint="eastAsia" w:ascii="仿宋_GB2312" w:hAnsi="宋体" w:eastAsia="仿宋_GB2312" w:cs="宋体"/>
          <w:b w:val="0"/>
          <w:bCs/>
          <w:color w:val="000000"/>
          <w:sz w:val="28"/>
          <w:szCs w:val="28"/>
        </w:rPr>
        <w:t>３、继续推进重要政策协调，为行业创造良好发展环境。</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仿宋_GB2312" w:hAnsi="宋体" w:eastAsia="仿宋_GB2312" w:cs="宋体"/>
          <w:b w:val="0"/>
          <w:bCs/>
          <w:color w:val="000000"/>
          <w:sz w:val="28"/>
          <w:szCs w:val="28"/>
        </w:rPr>
      </w:pPr>
      <w:r>
        <w:rPr>
          <w:rFonts w:hint="eastAsia" w:ascii="仿宋_GB2312" w:hAnsi="宋体" w:eastAsia="仿宋_GB2312" w:cs="宋体"/>
          <w:b w:val="0"/>
          <w:bCs/>
          <w:color w:val="000000"/>
          <w:sz w:val="28"/>
          <w:szCs w:val="28"/>
        </w:rPr>
        <w:t>４、推动横向联合，拓展经营。</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仿宋_GB2312" w:hAnsi="宋体" w:eastAsia="仿宋_GB2312" w:cs="宋体"/>
          <w:b w:val="0"/>
          <w:bCs/>
          <w:color w:val="000000"/>
          <w:sz w:val="28"/>
          <w:szCs w:val="28"/>
        </w:rPr>
      </w:pPr>
      <w:r>
        <w:rPr>
          <w:rFonts w:hint="eastAsia" w:ascii="仿宋_GB2312" w:hAnsi="宋体" w:eastAsia="仿宋_GB2312" w:cs="宋体"/>
          <w:b w:val="0"/>
          <w:bCs/>
          <w:color w:val="000000"/>
          <w:sz w:val="28"/>
          <w:szCs w:val="28"/>
        </w:rPr>
        <w:t>5、推动拍卖行业向多业发展。</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仿宋_GB2312" w:hAnsi="宋体" w:eastAsia="仿宋_GB2312" w:cs="宋体"/>
          <w:b w:val="0"/>
          <w:bCs/>
          <w:color w:val="000000"/>
          <w:sz w:val="28"/>
          <w:szCs w:val="28"/>
        </w:rPr>
      </w:pPr>
      <w:r>
        <w:rPr>
          <w:rFonts w:hint="eastAsia" w:ascii="仿宋_GB2312" w:hAnsi="宋体" w:eastAsia="仿宋_GB2312" w:cs="宋体"/>
          <w:b w:val="0"/>
          <w:bCs/>
          <w:color w:val="000000"/>
          <w:sz w:val="28"/>
          <w:szCs w:val="28"/>
        </w:rPr>
        <w:t>6、继续抓好行业自律工作。</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仿宋_GB2312" w:hAnsi="宋体" w:eastAsia="仿宋_GB2312" w:cs="宋体"/>
          <w:b w:val="0"/>
          <w:bCs/>
          <w:color w:val="000000"/>
          <w:sz w:val="28"/>
          <w:szCs w:val="28"/>
        </w:rPr>
      </w:pPr>
      <w:r>
        <w:rPr>
          <w:rFonts w:hint="eastAsia" w:ascii="仿宋_GB2312" w:hAnsi="宋体" w:eastAsia="仿宋_GB2312" w:cs="宋体"/>
          <w:b w:val="0"/>
          <w:bCs/>
          <w:color w:val="000000"/>
          <w:sz w:val="28"/>
          <w:szCs w:val="28"/>
        </w:rPr>
        <w:t>7、依托网络新媒体平台，扩大行业宣传力度和广度，打造有利于行业发展的舆论环境。</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仿宋_GB2312" w:hAnsi="宋体" w:eastAsia="仿宋_GB2312" w:cs="宋体"/>
          <w:b w:val="0"/>
          <w:bCs/>
          <w:color w:val="000000"/>
          <w:sz w:val="28"/>
          <w:szCs w:val="28"/>
        </w:rPr>
      </w:pPr>
      <w:r>
        <w:rPr>
          <w:rFonts w:hint="eastAsia" w:ascii="仿宋_GB2312" w:hAnsi="宋体" w:eastAsia="仿宋_GB2312" w:cs="宋体"/>
          <w:b w:val="0"/>
          <w:bCs/>
          <w:color w:val="000000"/>
          <w:sz w:val="28"/>
          <w:szCs w:val="28"/>
        </w:rPr>
        <w:t>8、继续抓好行业的建设和管理。</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仿宋_GB2312" w:hAnsi="宋体" w:eastAsia="仿宋_GB2312" w:cs="宋体"/>
          <w:b w:val="0"/>
          <w:bCs/>
          <w:color w:val="000000"/>
          <w:sz w:val="28"/>
          <w:szCs w:val="28"/>
        </w:rPr>
      </w:pPr>
      <w:r>
        <w:rPr>
          <w:rFonts w:hint="eastAsia" w:ascii="仿宋_GB2312" w:hAnsi="宋体" w:eastAsia="仿宋_GB2312" w:cs="宋体"/>
          <w:b w:val="0"/>
          <w:bCs/>
          <w:color w:val="000000"/>
          <w:sz w:val="28"/>
          <w:szCs w:val="28"/>
        </w:rPr>
        <w:t>9、开展几项活动</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一是</w:t>
      </w:r>
      <w:r>
        <w:rPr>
          <w:rFonts w:hint="eastAsia" w:ascii="仿宋_GB2312" w:hAnsi="宋体" w:eastAsia="仿宋_GB2312" w:cs="宋体"/>
          <w:color w:val="000000"/>
          <w:sz w:val="28"/>
          <w:szCs w:val="28"/>
        </w:rPr>
        <w:t>召开一次行业经验交流会</w:t>
      </w:r>
      <w:r>
        <w:rPr>
          <w:rFonts w:hint="eastAsia" w:ascii="仿宋_GB2312" w:hAnsi="宋体" w:eastAsia="仿宋_GB2312" w:cs="宋体"/>
          <w:color w:val="000000"/>
          <w:sz w:val="28"/>
          <w:szCs w:val="28"/>
          <w:lang w:eastAsia="zh-CN"/>
        </w:rPr>
        <w:t>；二是</w:t>
      </w:r>
      <w:r>
        <w:rPr>
          <w:rFonts w:hint="eastAsia" w:ascii="仿宋_GB2312" w:hAnsi="宋体" w:eastAsia="仿宋_GB2312" w:cs="宋体"/>
          <w:color w:val="000000"/>
          <w:sz w:val="28"/>
          <w:szCs w:val="28"/>
        </w:rPr>
        <w:t>重新开展行业信用等级评估复评工作</w:t>
      </w:r>
      <w:r>
        <w:rPr>
          <w:rFonts w:hint="eastAsia" w:ascii="仿宋_GB2312" w:hAnsi="宋体" w:eastAsia="仿宋_GB2312" w:cs="宋体"/>
          <w:color w:val="000000"/>
          <w:sz w:val="28"/>
          <w:szCs w:val="28"/>
          <w:lang w:eastAsia="zh-CN"/>
        </w:rPr>
        <w:t>；三是</w:t>
      </w:r>
      <w:r>
        <w:rPr>
          <w:rFonts w:hint="eastAsia" w:ascii="仿宋_GB2312" w:hAnsi="宋体" w:eastAsia="仿宋_GB2312" w:cs="宋体"/>
          <w:color w:val="000000"/>
          <w:sz w:val="28"/>
          <w:szCs w:val="28"/>
        </w:rPr>
        <w:t>召开执业拍卖师管理经验交流会</w:t>
      </w:r>
      <w:r>
        <w:rPr>
          <w:rFonts w:hint="eastAsia" w:ascii="仿宋_GB2312" w:hAnsi="宋体" w:eastAsia="仿宋_GB2312" w:cs="宋体"/>
          <w:color w:val="000000"/>
          <w:sz w:val="28"/>
          <w:szCs w:val="28"/>
          <w:lang w:eastAsia="zh-CN"/>
        </w:rPr>
        <w:t>；四是</w:t>
      </w:r>
      <w:r>
        <w:rPr>
          <w:rFonts w:hint="eastAsia" w:ascii="仿宋_GB2312" w:hAnsi="宋体" w:eastAsia="仿宋_GB2312" w:cs="宋体"/>
          <w:color w:val="000000"/>
          <w:sz w:val="28"/>
          <w:szCs w:val="28"/>
        </w:rPr>
        <w:t>拟下半年举办拍卖行业从业人员培训班</w:t>
      </w:r>
      <w:r>
        <w:rPr>
          <w:rFonts w:hint="eastAsia" w:ascii="仿宋_GB2312" w:hAnsi="宋体" w:eastAsia="仿宋_GB2312" w:cs="宋体"/>
          <w:color w:val="000000"/>
          <w:sz w:val="28"/>
          <w:szCs w:val="28"/>
          <w:lang w:eastAsia="zh-CN"/>
        </w:rPr>
        <w:t>；五是</w:t>
      </w:r>
      <w:r>
        <w:rPr>
          <w:rFonts w:hint="eastAsia" w:ascii="仿宋_GB2312" w:hAnsi="宋体" w:eastAsia="仿宋_GB2312" w:cs="宋体"/>
          <w:color w:val="000000"/>
          <w:sz w:val="28"/>
          <w:szCs w:val="28"/>
        </w:rPr>
        <w:t>举办2019年拍卖宣传周活动。</w:t>
      </w:r>
      <w:r>
        <w:rPr>
          <w:rFonts w:hint="eastAsia" w:ascii="仿宋_GB2312" w:hAnsi="宋体" w:eastAsia="仿宋_GB2312" w:cs="宋体"/>
          <w:color w:val="000000"/>
          <w:sz w:val="28"/>
          <w:szCs w:val="28"/>
          <w:lang w:eastAsia="zh-CN"/>
        </w:rPr>
        <w:t>六是</w:t>
      </w:r>
      <w:r>
        <w:rPr>
          <w:rFonts w:hint="eastAsia" w:ascii="仿宋_GB2312" w:hAnsi="宋体" w:eastAsia="仿宋_GB2312" w:cs="宋体"/>
          <w:color w:val="000000"/>
          <w:sz w:val="28"/>
          <w:szCs w:val="28"/>
        </w:rPr>
        <w:t>召开行业联谊会</w:t>
      </w:r>
      <w:r>
        <w:rPr>
          <w:rFonts w:hint="eastAsia" w:ascii="仿宋_GB2312" w:hAnsi="宋体" w:eastAsia="仿宋_GB2312" w:cs="宋体"/>
          <w:color w:val="000000"/>
          <w:sz w:val="28"/>
          <w:szCs w:val="28"/>
          <w:lang w:eastAsia="zh-CN"/>
        </w:rPr>
        <w:t>；七是</w:t>
      </w:r>
      <w:r>
        <w:rPr>
          <w:rFonts w:hint="eastAsia" w:ascii="仿宋_GB2312" w:hAnsi="宋体" w:eastAsia="仿宋_GB2312" w:cs="宋体"/>
          <w:color w:val="000000"/>
          <w:sz w:val="28"/>
          <w:szCs w:val="28"/>
        </w:rPr>
        <w:t>继续开展先进拍卖企业、先进统计、优秀拍卖师、《广西拍卖通讯》的评比表彰工作</w:t>
      </w:r>
      <w:r>
        <w:rPr>
          <w:rFonts w:hint="eastAsia" w:ascii="仿宋_GB2312" w:hAnsi="宋体" w:eastAsia="仿宋_GB2312" w:cs="宋体"/>
          <w:color w:val="000000"/>
          <w:sz w:val="28"/>
          <w:szCs w:val="28"/>
          <w:lang w:eastAsia="zh-CN"/>
        </w:rPr>
        <w:t>；八是</w:t>
      </w:r>
      <w:r>
        <w:rPr>
          <w:rFonts w:hint="eastAsia" w:ascii="仿宋_GB2312" w:hAnsi="宋体" w:eastAsia="仿宋_GB2312" w:cs="宋体"/>
          <w:color w:val="000000"/>
          <w:sz w:val="28"/>
          <w:szCs w:val="28"/>
        </w:rPr>
        <w:t>协助中国拍卖行业协会做好2019年拍卖企业等级评估工作。</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仿宋_GB2312" w:hAnsi="宋体" w:eastAsia="仿宋_GB2312" w:cs="宋体"/>
          <w:b/>
          <w:sz w:val="28"/>
          <w:szCs w:val="28"/>
        </w:rPr>
      </w:pPr>
      <w:r>
        <w:rPr>
          <w:rFonts w:hint="eastAsia" w:ascii="仿宋_GB2312" w:hAnsi="宋体" w:eastAsia="仿宋_GB2312" w:cs="宋体"/>
          <w:sz w:val="28"/>
          <w:szCs w:val="28"/>
        </w:rPr>
        <w:t>四、自治区商务</w:t>
      </w:r>
      <w:r>
        <w:rPr>
          <w:rFonts w:hint="eastAsia" w:ascii="仿宋_GB2312" w:hAnsi="宋体" w:eastAsia="仿宋_GB2312" w:cs="宋体"/>
          <w:sz w:val="28"/>
          <w:szCs w:val="28"/>
          <w:lang w:eastAsia="zh-CN"/>
        </w:rPr>
        <w:t>厅和自治区工商市场监督管理局的</w:t>
      </w:r>
      <w:r>
        <w:rPr>
          <w:rFonts w:hint="eastAsia" w:ascii="仿宋_GB2312" w:hAnsi="宋体" w:eastAsia="仿宋_GB2312" w:cs="宋体"/>
          <w:sz w:val="28"/>
          <w:szCs w:val="28"/>
        </w:rPr>
        <w:t>领导充分肯定行业</w:t>
      </w:r>
      <w:r>
        <w:rPr>
          <w:rFonts w:hint="eastAsia" w:ascii="仿宋_GB2312" w:hAnsi="宋体" w:eastAsia="仿宋_GB2312" w:cs="宋体"/>
          <w:sz w:val="28"/>
          <w:szCs w:val="28"/>
          <w:lang w:eastAsia="zh-CN"/>
        </w:rPr>
        <w:t>发展</w:t>
      </w:r>
      <w:r>
        <w:rPr>
          <w:rFonts w:hint="eastAsia" w:ascii="仿宋_GB2312" w:hAnsi="宋体" w:eastAsia="仿宋_GB2312" w:cs="宋体"/>
          <w:sz w:val="28"/>
          <w:szCs w:val="28"/>
        </w:rPr>
        <w:t>和协会工作。</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 w:eastAsia="仿宋_GB2312" w:cs="仿宋"/>
          <w:sz w:val="28"/>
          <w:szCs w:val="28"/>
        </w:rPr>
      </w:pPr>
      <w:r>
        <w:rPr>
          <w:rFonts w:hint="eastAsia" w:ascii="仿宋_GB2312" w:hAnsi="仿宋" w:eastAsia="仿宋_GB2312" w:cs="仿宋"/>
          <w:sz w:val="28"/>
          <w:szCs w:val="28"/>
        </w:rPr>
        <w:t>自治区商务厅</w:t>
      </w:r>
      <w:r>
        <w:rPr>
          <w:rFonts w:hint="eastAsia" w:ascii="仿宋_GB2312" w:hAnsi="仿宋" w:eastAsia="仿宋_GB2312" w:cs="仿宋"/>
          <w:sz w:val="28"/>
          <w:szCs w:val="28"/>
          <w:lang w:eastAsia="zh-CN"/>
        </w:rPr>
        <w:t>助理巡视员</w:t>
      </w:r>
      <w:r>
        <w:rPr>
          <w:rFonts w:hint="eastAsia" w:ascii="仿宋_GB2312" w:eastAsia="仿宋_GB2312"/>
          <w:sz w:val="28"/>
          <w:szCs w:val="28"/>
          <w:lang w:eastAsia="zh-CN"/>
        </w:rPr>
        <w:t>瞿国堂</w:t>
      </w:r>
      <w:r>
        <w:rPr>
          <w:rFonts w:hint="eastAsia" w:ascii="仿宋_GB2312" w:hAnsi="仿宋" w:eastAsia="仿宋_GB2312" w:cs="仿宋"/>
          <w:sz w:val="28"/>
          <w:szCs w:val="28"/>
          <w:lang w:eastAsia="zh-CN"/>
        </w:rPr>
        <w:t>和自治区工商市场监督管理局的领导</w:t>
      </w:r>
      <w:r>
        <w:rPr>
          <w:rFonts w:hint="eastAsia" w:ascii="仿宋_GB2312" w:hAnsi="仿宋" w:eastAsia="仿宋_GB2312" w:cs="仿宋"/>
          <w:sz w:val="28"/>
          <w:szCs w:val="28"/>
        </w:rPr>
        <w:t>出席会议并</w:t>
      </w:r>
      <w:r>
        <w:rPr>
          <w:rFonts w:hint="eastAsia" w:ascii="仿宋_GB2312" w:hAnsi="仿宋" w:eastAsia="仿宋_GB2312" w:cs="仿宋"/>
          <w:sz w:val="28"/>
          <w:szCs w:val="28"/>
          <w:lang w:eastAsia="zh-CN"/>
        </w:rPr>
        <w:t>致词。</w:t>
      </w:r>
      <w:r>
        <w:rPr>
          <w:rFonts w:hint="eastAsia" w:ascii="仿宋_GB2312" w:hAnsi="仿宋" w:eastAsia="仿宋_GB2312" w:cs="仿宋"/>
          <w:sz w:val="28"/>
          <w:szCs w:val="28"/>
        </w:rPr>
        <w:t>对广西拍卖行业一年来的发展给予充分肯定，对协会工作给予了高度评价，对今后我区拍卖业的发展提出了意见和要求。</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 w:eastAsia="仿宋_GB2312" w:cs="仿宋"/>
          <w:sz w:val="28"/>
          <w:szCs w:val="28"/>
        </w:rPr>
      </w:pPr>
      <w:r>
        <w:rPr>
          <w:rFonts w:hint="eastAsia" w:ascii="仿宋_GB2312" w:hAnsi="仿宋" w:eastAsia="仿宋_GB2312" w:cs="仿宋"/>
          <w:sz w:val="28"/>
          <w:szCs w:val="28"/>
        </w:rPr>
        <w:t>大会号召全行业在当前拍卖行业面临转型调整，创新发展的关键时刻，</w:t>
      </w:r>
      <w:r>
        <w:rPr>
          <w:rFonts w:hint="eastAsia" w:ascii="仿宋_GB2312" w:hAnsi="仿宋" w:eastAsia="仿宋_GB2312" w:cs="仿宋"/>
          <w:sz w:val="28"/>
          <w:szCs w:val="28"/>
          <w:lang w:eastAsia="zh-CN"/>
        </w:rPr>
        <w:t>我们要</w:t>
      </w:r>
      <w:r>
        <w:rPr>
          <w:rFonts w:hint="eastAsia" w:ascii="仿宋_GB2312" w:hAnsi="仿宋" w:eastAsia="仿宋_GB2312" w:cs="仿宋"/>
          <w:sz w:val="28"/>
          <w:szCs w:val="28"/>
        </w:rPr>
        <w:t>适应新时代发展的变化，同心同德勇于担当，凝聚行业力量，</w:t>
      </w:r>
      <w:r>
        <w:rPr>
          <w:rFonts w:hint="eastAsia" w:ascii="仿宋_GB2312" w:hAnsi="仿宋" w:eastAsia="仿宋_GB2312" w:cs="仿宋"/>
          <w:sz w:val="28"/>
          <w:szCs w:val="28"/>
          <w:lang w:eastAsia="zh-CN"/>
        </w:rPr>
        <w:t>向市场要资源，以合作谋共赢，</w:t>
      </w:r>
      <w:r>
        <w:rPr>
          <w:rFonts w:hint="eastAsia" w:ascii="仿宋_GB2312" w:hAnsi="仿宋" w:eastAsia="仿宋_GB2312" w:cs="仿宋"/>
          <w:sz w:val="28"/>
          <w:szCs w:val="28"/>
        </w:rPr>
        <w:t>振奋精神，坚定信心，攻坚克难，增强服务意识，努力拼搏，团结一致，积极发挥各方面的智慧和能量，把我区拍卖事业不断推向前进。</w:t>
      </w:r>
    </w:p>
    <w:p>
      <w:pPr>
        <w:rPr>
          <w:rFonts w:hint="eastAsia" w:ascii="仿宋_GB2312" w:hAnsi="宋体" w:eastAsia="仿宋_GB2312" w:cs="宋体"/>
          <w:sz w:val="28"/>
          <w:szCs w:val="28"/>
          <w:lang w:val="en-US" w:eastAsia="zh-CN"/>
        </w:rPr>
      </w:pPr>
    </w:p>
    <w:p>
      <w:pPr>
        <w:jc w:val="center"/>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广西拍卖行业协会关于2019年一季度</w:t>
      </w:r>
    </w:p>
    <w:p>
      <w:pPr>
        <w:jc w:val="center"/>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全区拍卖企业经营情况的通报</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全区拍卖企业经营情况汇总分析，第一季度拍卖业经营同比降幅较大。截止3月31日，全区拍卖业第一季度实现拍卖成交总额110312.70万元，比去年同期下降159061.89万元，同比降幅为59.05%。第一季度全区拍卖业经营呈现如下特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一、全区拍卖成交总额与同期相比大幅下降</w:t>
      </w:r>
    </w:p>
    <w:p>
      <w:pPr>
        <w:keepNext w:val="0"/>
        <w:keepLines w:val="0"/>
        <w:pageBreakBefore w:val="0"/>
        <w:widowControl w:val="0"/>
        <w:kinsoku/>
        <w:wordWrap/>
        <w:overflowPunct/>
        <w:topLinePunct w:val="0"/>
        <w:autoSpaceDE/>
        <w:autoSpaceDN/>
        <w:bidi w:val="0"/>
        <w:adjustRightInd/>
        <w:snapToGrid/>
        <w:spacing w:line="420" w:lineRule="exact"/>
        <w:ind w:left="286" w:leftChars="136" w:firstLine="280" w:firstLineChars="1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一季度全区拍卖成交总额为110312.70万元，同比降幅为59.05%，拍卖场次414场，比去年同期增加141场，增幅为51.64%。</w:t>
      </w:r>
    </w:p>
    <w:p>
      <w:pPr>
        <w:keepNext w:val="0"/>
        <w:keepLines w:val="0"/>
        <w:pageBreakBefore w:val="0"/>
        <w:widowControl w:val="0"/>
        <w:kinsoku/>
        <w:wordWrap/>
        <w:overflowPunct/>
        <w:topLinePunct w:val="0"/>
        <w:autoSpaceDE/>
        <w:autoSpaceDN/>
        <w:bidi w:val="0"/>
        <w:adjustRightInd/>
        <w:snapToGrid/>
        <w:spacing w:line="420" w:lineRule="exact"/>
        <w:ind w:left="-2" w:leftChars="-1"/>
        <w:textAlignment w:val="auto"/>
        <w:rPr>
          <w:rFonts w:hint="eastAsia" w:ascii="黑体" w:hAnsi="黑体" w:eastAsia="黑体" w:cs="黑体"/>
          <w:b w:val="0"/>
          <w:bCs/>
          <w:color w:val="auto"/>
          <w:sz w:val="28"/>
          <w:szCs w:val="28"/>
        </w:rPr>
      </w:pPr>
      <w:r>
        <w:rPr>
          <w:rFonts w:hint="eastAsia" w:ascii="仿宋_GB2312" w:hAnsi="仿宋_GB2312" w:eastAsia="仿宋_GB2312" w:cs="仿宋_GB2312"/>
          <w:color w:val="auto"/>
          <w:sz w:val="28"/>
          <w:szCs w:val="28"/>
        </w:rPr>
        <w:t xml:space="preserve">    </w:t>
      </w:r>
      <w:r>
        <w:rPr>
          <w:rFonts w:hint="eastAsia" w:ascii="黑体" w:hAnsi="黑体" w:eastAsia="黑体" w:cs="黑体"/>
          <w:b w:val="0"/>
          <w:bCs/>
          <w:color w:val="auto"/>
          <w:sz w:val="28"/>
          <w:szCs w:val="28"/>
        </w:rPr>
        <w:t>二、各市间拍卖成交额差异大</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全区14个市中，第一季度南宁市拍卖成交额占全区拍卖成交总额的42.05%，其拍卖成交额为46385.90万元，与去年同期相比成交额大幅下降，其降幅为78.61%，桂林市拍卖成交额增长9.88%，由同期的25550.52万元上升到28075.07万元,梧州市拍卖成交额成4倍多增长，由同期的1654.82万元上升到8913.95 万元，成交额占比由同期的0.61%上升到8.08%，柳州市拍卖成交额成2倍多增长，由同期的3416.68万元上升到10326.22 万元，成交额占比由同期的1.27%上升到9.36%。（详见附件1）</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0"/>
        <w:textAlignment w:val="auto"/>
        <w:rPr>
          <w:rFonts w:hint="eastAsia" w:ascii="仿宋_GB2312" w:hAnsi="仿宋_GB2312" w:eastAsia="仿宋_GB2312" w:cs="仿宋_GB2312"/>
          <w:b/>
          <w:color w:val="auto"/>
          <w:sz w:val="28"/>
          <w:szCs w:val="28"/>
        </w:rPr>
      </w:pPr>
      <w:r>
        <w:rPr>
          <w:rFonts w:hint="eastAsia" w:ascii="黑体" w:hAnsi="黑体" w:eastAsia="黑体" w:cs="黑体"/>
          <w:b w:val="0"/>
          <w:bCs/>
          <w:color w:val="auto"/>
          <w:sz w:val="28"/>
          <w:szCs w:val="28"/>
        </w:rPr>
        <w:t>三、股债产权、土地使用权、房地产拍卖成交额同比大幅下降</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标的物分类统计，第一季度全区拍卖成交总额为110312.70万元，八大标的物中，成交额基本呈现下降态势，其中股债产权拍卖成交额为2955.37万元，同比降幅高达97.52%，由同期的119136.39万元降为2955.37万元，土地使用权、房地产拍卖成交额同比降幅也大，降幅分别为：土地使用权一季度拍卖成交额为56113.56万元，同比降幅为34.72%，房地产一季度拍卖成交额为29354.03万元，同比降幅为26.83% ，一季度标的物拍卖成交额均呈现不同程度下降，由此促使总成交额大幅下降的态势。（详见附件2）</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0"/>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四、政府部门委托、法院委托以及个人委托拍卖呈现增长</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从委托部门统计看，政府部门委托拍卖成交额为80848.59万元，占成交总额的73.29%，同比增长26.73%，法院委托拍卖成交额14266.12万元，同比增长73.74%， 个人委托拍卖成交额为1790.98万元，同比增长91.42%，金融资产机构委托成交额由同期146164.04万元降到4134.88万元，同比降幅为97.17%。（详见附件3）</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0"/>
        <w:textAlignment w:val="auto"/>
        <w:rPr>
          <w:rFonts w:hint="eastAsia" w:ascii="仿宋_GB2312" w:hAnsi="仿宋_GB2312" w:eastAsia="仿宋_GB2312" w:cs="仿宋_GB2312"/>
          <w:b/>
          <w:color w:val="auto"/>
          <w:sz w:val="28"/>
          <w:szCs w:val="28"/>
        </w:rPr>
      </w:pPr>
      <w:r>
        <w:rPr>
          <w:rFonts w:hint="eastAsia" w:ascii="黑体" w:hAnsi="黑体" w:eastAsia="黑体" w:cs="黑体"/>
          <w:b w:val="0"/>
          <w:bCs/>
          <w:color w:val="auto"/>
          <w:sz w:val="28"/>
          <w:szCs w:val="28"/>
        </w:rPr>
        <w:t>五、佣金收取率同比呈增长态势</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第一季度全区拍卖成交总额为110312.70万元，佣金收取总额为1556.01万元，与去年同期相比，佣金收取额减少1826.60万元，同比下降53.99%，但佣金收取率同比增长12.33%。</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从标的物分类看，房地产、机动车、股债产权拍卖佣金收取率同比呈现大幅增长，其增长幅度分别为78.83%、202.37%、37.19%，土地使用权、农副产品佣金收取率同比下降，其降幅分别为33.44%、61.32%。（详见附件4）</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委托部门看，政府部门委托、其他机构委托一季度拍卖佣金收取率呈现增长，增长幅度分别为：15.47%、229.64%，其他部门均呈现下降，其中降幅分别为：法院委托：67.04%、金融资产机构委托：13.39%、个人委托：79.01%。（详见附件5）</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0"/>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六、业绩排名</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一季度全区拍卖业绩排在前十名的企业是：桂林华泰拍卖有限公司：24592.00万元、广西利盛拍卖有限公司：97361.16万元、广西众鑫信拍卖有限公司：8655.01万元、广西百源汇拍卖有限公司：8169.38万元、防城港鋆河拍卖有限责任公司：10010.00万元、广西昌鼎拍卖有限责任公司：5358.82万元、广西钰鼎拍卖有限责任公司：4610.00万元、广西联合拍卖有限公司：4300.00万元、广西南宁东里欣拍卖有限责任公司：3549.06万元、广西南宁法荣拍卖有限公司：3012.55万元。</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附件：</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1、2019年第一季度全区拍卖业业绩情况表（按地区统计）</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15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2、2019年第一季度全区拍卖业业绩情况表（按标的统计）</w:t>
      </w:r>
    </w:p>
    <w:p>
      <w:pPr>
        <w:keepNext w:val="0"/>
        <w:keepLines w:val="0"/>
        <w:pageBreakBefore w:val="0"/>
        <w:widowControl w:val="0"/>
        <w:kinsoku/>
        <w:wordWrap/>
        <w:overflowPunct/>
        <w:topLinePunct w:val="0"/>
        <w:autoSpaceDE/>
        <w:autoSpaceDN/>
        <w:bidi w:val="0"/>
        <w:adjustRightInd/>
        <w:snapToGrid/>
        <w:spacing w:line="420" w:lineRule="exact"/>
        <w:ind w:left="1267" w:leftChars="270" w:hanging="700" w:hangingChars="25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3、2019年第一季度全区拍卖业业绩情况表</w:t>
      </w:r>
      <w:r>
        <w:rPr>
          <w:rFonts w:hint="eastAsia" w:ascii="仿宋_GB2312" w:hAnsi="仿宋_GB2312" w:eastAsia="仿宋_GB2312" w:cs="仿宋_GB2312"/>
          <w:color w:val="auto"/>
          <w:spacing w:val="-40"/>
          <w:sz w:val="28"/>
          <w:szCs w:val="28"/>
        </w:rPr>
        <w:t>（按委托对象统计）</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15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4、2019年第一季度全区拍卖佣金收取情况表（按标的统计）</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15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5、2019年第一季度全区拍卖佣金收取情况表（按标的统计）</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15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 xml:space="preserve"> 6、2019年第一季度全区拍卖企业经营情况汇总表</w:t>
      </w:r>
      <w:r>
        <w:rPr>
          <w:rFonts w:hint="eastAsia" w:ascii="仿宋_GB2312" w:hAnsi="仿宋_GB2312" w:eastAsia="仿宋_GB2312" w:cs="仿宋_GB2312"/>
          <w:color w:val="auto"/>
          <w:sz w:val="28"/>
          <w:szCs w:val="28"/>
          <w:lang w:eastAsia="zh-CN"/>
        </w:rPr>
        <w:t>（略）</w:t>
      </w:r>
    </w:p>
    <w:p>
      <w:pPr>
        <w:keepNext w:val="0"/>
        <w:keepLines w:val="0"/>
        <w:pageBreakBefore w:val="0"/>
        <w:widowControl w:val="0"/>
        <w:kinsoku/>
        <w:wordWrap/>
        <w:overflowPunct/>
        <w:topLinePunct w:val="0"/>
        <w:autoSpaceDE/>
        <w:autoSpaceDN/>
        <w:bidi w:val="0"/>
        <w:adjustRightInd/>
        <w:snapToGrid/>
        <w:spacing w:line="420" w:lineRule="exact"/>
        <w:ind w:firstLine="4200" w:firstLineChars="1500"/>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4200" w:firstLineChars="1500"/>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3920" w:firstLineChars="1400"/>
        <w:textAlignment w:val="auto"/>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32"/>
          <w:szCs w:val="32"/>
        </w:rPr>
      </w:pPr>
    </w:p>
    <w:p>
      <w:pPr>
        <w:ind w:left="560" w:hanging="560" w:hangingChars="200"/>
        <w:rPr>
          <w:rFonts w:hint="eastAsia" w:ascii="新宋体" w:hAnsi="新宋体" w:eastAsia="新宋体"/>
          <w:color w:val="auto"/>
          <w:sz w:val="28"/>
          <w:szCs w:val="28"/>
        </w:rPr>
      </w:pPr>
      <w:r>
        <w:rPr>
          <w:rFonts w:hint="eastAsia" w:ascii="新宋体" w:hAnsi="新宋体" w:eastAsia="新宋体"/>
          <w:color w:val="auto"/>
          <w:sz w:val="28"/>
          <w:szCs w:val="28"/>
        </w:rPr>
        <w:t>附件1：</w:t>
      </w:r>
    </w:p>
    <w:p>
      <w:pPr>
        <w:ind w:left="640" w:hanging="640" w:hangingChars="200"/>
        <w:jc w:val="center"/>
        <w:rPr>
          <w:rFonts w:hint="eastAsia" w:ascii="仿宋_GB2312" w:eastAsia="仿宋_GB2312"/>
          <w:color w:val="auto"/>
          <w:sz w:val="32"/>
          <w:szCs w:val="32"/>
        </w:rPr>
      </w:pPr>
      <w:r>
        <w:rPr>
          <w:rFonts w:hint="eastAsia" w:ascii="黑体" w:hAnsi="黑体" w:eastAsia="黑体"/>
          <w:color w:val="auto"/>
          <w:sz w:val="32"/>
          <w:szCs w:val="32"/>
        </w:rPr>
        <w:t>201</w:t>
      </w:r>
      <w:r>
        <w:rPr>
          <w:rFonts w:hint="eastAsia" w:ascii="黑体" w:hAnsi="黑体" w:eastAsia="黑体"/>
          <w:color w:val="auto"/>
          <w:sz w:val="32"/>
          <w:szCs w:val="32"/>
          <w:lang w:val="en-US" w:eastAsia="zh-CN"/>
        </w:rPr>
        <w:t>9</w:t>
      </w:r>
      <w:r>
        <w:rPr>
          <w:rFonts w:hint="eastAsia" w:ascii="黑体" w:hAnsi="黑体" w:eastAsia="黑体"/>
          <w:color w:val="auto"/>
          <w:sz w:val="32"/>
          <w:szCs w:val="32"/>
        </w:rPr>
        <w:t>年第一季度全区拍卖业业绩情况表</w:t>
      </w:r>
      <w:r>
        <w:rPr>
          <w:rFonts w:hint="eastAsia" w:ascii="仿宋_GB2312" w:eastAsia="仿宋_GB2312"/>
          <w:color w:val="auto"/>
          <w:sz w:val="32"/>
          <w:szCs w:val="32"/>
        </w:rPr>
        <w:t>（按地区统计）</w:t>
      </w:r>
    </w:p>
    <w:p>
      <w:pPr>
        <w:ind w:left="480" w:hanging="480" w:hangingChars="200"/>
        <w:jc w:val="right"/>
        <w:rPr>
          <w:rFonts w:hint="eastAsia" w:ascii="新宋体" w:hAnsi="新宋体" w:eastAsia="新宋体"/>
          <w:color w:val="auto"/>
          <w:sz w:val="24"/>
        </w:rPr>
      </w:pPr>
      <w:r>
        <w:rPr>
          <w:rFonts w:hint="eastAsia" w:ascii="新宋体" w:hAnsi="新宋体" w:eastAsia="新宋体"/>
          <w:color w:val="auto"/>
          <w:sz w:val="24"/>
        </w:rPr>
        <w:t>单位：万元</w:t>
      </w:r>
    </w:p>
    <w:tbl>
      <w:tblPr>
        <w:tblStyle w:val="6"/>
        <w:tblW w:w="8688"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799"/>
        <w:gridCol w:w="1196"/>
        <w:gridCol w:w="1260"/>
        <w:gridCol w:w="882"/>
        <w:gridCol w:w="1253"/>
        <w:gridCol w:w="1067"/>
        <w:gridCol w:w="1260"/>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90" w:hRule="atLeast"/>
          <w:jc w:val="center"/>
        </w:trPr>
        <w:tc>
          <w:tcPr>
            <w:tcW w:w="799" w:type="dxa"/>
            <w:vMerge w:val="restart"/>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序号</w:t>
            </w:r>
          </w:p>
        </w:tc>
        <w:tc>
          <w:tcPr>
            <w:tcW w:w="1196" w:type="dxa"/>
            <w:vMerge w:val="restart"/>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地区</w:t>
            </w:r>
          </w:p>
        </w:tc>
        <w:tc>
          <w:tcPr>
            <w:tcW w:w="1260" w:type="dxa"/>
            <w:vMerge w:val="restart"/>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本期值</w:t>
            </w:r>
          </w:p>
        </w:tc>
        <w:tc>
          <w:tcPr>
            <w:tcW w:w="882" w:type="dxa"/>
            <w:vMerge w:val="restart"/>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比值</w:t>
            </w:r>
          </w:p>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w:t>
            </w:r>
          </w:p>
        </w:tc>
        <w:tc>
          <w:tcPr>
            <w:tcW w:w="2320" w:type="dxa"/>
            <w:gridSpan w:val="2"/>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同比增长</w:t>
            </w:r>
          </w:p>
        </w:tc>
        <w:tc>
          <w:tcPr>
            <w:tcW w:w="2231" w:type="dxa"/>
            <w:gridSpan w:val="2"/>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环比增长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20" w:hRule="atLeast"/>
          <w:jc w:val="center"/>
        </w:trPr>
        <w:tc>
          <w:tcPr>
            <w:tcW w:w="799" w:type="dxa"/>
            <w:vMerge w:val="continue"/>
            <w:noWrap w:val="0"/>
            <w:vAlign w:val="center"/>
          </w:tcPr>
          <w:p>
            <w:pPr>
              <w:widowControl/>
              <w:jc w:val="left"/>
              <w:rPr>
                <w:rFonts w:hint="eastAsia" w:ascii="宋体" w:hAnsi="宋体" w:eastAsia="宋体" w:cs="宋体"/>
                <w:b/>
                <w:bCs/>
                <w:color w:val="auto"/>
                <w:kern w:val="0"/>
                <w:sz w:val="21"/>
                <w:szCs w:val="21"/>
              </w:rPr>
            </w:pPr>
          </w:p>
        </w:tc>
        <w:tc>
          <w:tcPr>
            <w:tcW w:w="1196" w:type="dxa"/>
            <w:vMerge w:val="continue"/>
            <w:noWrap w:val="0"/>
            <w:vAlign w:val="center"/>
          </w:tcPr>
          <w:p>
            <w:pPr>
              <w:widowControl/>
              <w:jc w:val="left"/>
              <w:rPr>
                <w:rFonts w:hint="eastAsia" w:ascii="宋体" w:hAnsi="宋体" w:eastAsia="宋体" w:cs="宋体"/>
                <w:b/>
                <w:bCs/>
                <w:color w:val="auto"/>
                <w:kern w:val="0"/>
                <w:sz w:val="21"/>
                <w:szCs w:val="21"/>
              </w:rPr>
            </w:pPr>
          </w:p>
        </w:tc>
        <w:tc>
          <w:tcPr>
            <w:tcW w:w="1260" w:type="dxa"/>
            <w:vMerge w:val="continue"/>
            <w:noWrap w:val="0"/>
            <w:vAlign w:val="center"/>
          </w:tcPr>
          <w:p>
            <w:pPr>
              <w:widowControl/>
              <w:jc w:val="left"/>
              <w:rPr>
                <w:rFonts w:hint="eastAsia" w:ascii="宋体" w:hAnsi="宋体" w:eastAsia="宋体" w:cs="宋体"/>
                <w:b/>
                <w:bCs/>
                <w:color w:val="auto"/>
                <w:kern w:val="0"/>
                <w:sz w:val="21"/>
                <w:szCs w:val="21"/>
              </w:rPr>
            </w:pPr>
          </w:p>
        </w:tc>
        <w:tc>
          <w:tcPr>
            <w:tcW w:w="882" w:type="dxa"/>
            <w:vMerge w:val="continue"/>
            <w:noWrap w:val="0"/>
            <w:vAlign w:val="center"/>
          </w:tcPr>
          <w:p>
            <w:pPr>
              <w:widowControl/>
              <w:jc w:val="left"/>
              <w:rPr>
                <w:rFonts w:hint="eastAsia" w:ascii="宋体" w:hAnsi="宋体" w:eastAsia="宋体" w:cs="宋体"/>
                <w:b/>
                <w:bCs/>
                <w:color w:val="auto"/>
                <w:kern w:val="0"/>
                <w:sz w:val="21"/>
                <w:szCs w:val="21"/>
              </w:rPr>
            </w:pPr>
          </w:p>
        </w:tc>
        <w:tc>
          <w:tcPr>
            <w:tcW w:w="1253" w:type="dxa"/>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去年</w:t>
            </w:r>
          </w:p>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同期值</w:t>
            </w:r>
          </w:p>
        </w:tc>
        <w:tc>
          <w:tcPr>
            <w:tcW w:w="1067" w:type="dxa"/>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增长率(%)</w:t>
            </w:r>
          </w:p>
        </w:tc>
        <w:tc>
          <w:tcPr>
            <w:tcW w:w="1260" w:type="dxa"/>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上期值</w:t>
            </w:r>
          </w:p>
        </w:tc>
        <w:tc>
          <w:tcPr>
            <w:tcW w:w="971" w:type="dxa"/>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33" w:hRule="exact"/>
          <w:jc w:val="center"/>
        </w:trPr>
        <w:tc>
          <w:tcPr>
            <w:tcW w:w="1995" w:type="dxa"/>
            <w:gridSpan w:val="2"/>
            <w:shd w:val="clear" w:color="auto" w:fill="FFFFFF"/>
            <w:noWrap w:val="0"/>
            <w:vAlign w:val="center"/>
          </w:tcPr>
          <w:p>
            <w:pPr>
              <w:widowControl/>
              <w:spacing w:line="48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广西自治区</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110312.70 </w:t>
            </w:r>
          </w:p>
        </w:tc>
        <w:tc>
          <w:tcPr>
            <w:tcW w:w="88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100.00 </w:t>
            </w:r>
          </w:p>
        </w:tc>
        <w:tc>
          <w:tcPr>
            <w:tcW w:w="125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269374.59 </w:t>
            </w:r>
          </w:p>
        </w:tc>
        <w:tc>
          <w:tcPr>
            <w:tcW w:w="106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-59.05 </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453712.27 </w:t>
            </w:r>
          </w:p>
        </w:tc>
        <w:tc>
          <w:tcPr>
            <w:tcW w:w="97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-75.69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33" w:hRule="exact"/>
          <w:jc w:val="center"/>
        </w:trPr>
        <w:tc>
          <w:tcPr>
            <w:tcW w:w="799" w:type="dxa"/>
            <w:shd w:val="clear" w:color="auto" w:fill="FFFFFF"/>
            <w:noWrap w:val="0"/>
            <w:vAlign w:val="center"/>
          </w:tcPr>
          <w:p>
            <w:pPr>
              <w:widowControl/>
              <w:spacing w:line="48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p>
        </w:tc>
        <w:tc>
          <w:tcPr>
            <w:tcW w:w="119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南宁市</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46385.90 </w:t>
            </w:r>
          </w:p>
        </w:tc>
        <w:tc>
          <w:tcPr>
            <w:tcW w:w="88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42.05 </w:t>
            </w:r>
          </w:p>
        </w:tc>
        <w:tc>
          <w:tcPr>
            <w:tcW w:w="125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216809.53 </w:t>
            </w:r>
          </w:p>
        </w:tc>
        <w:tc>
          <w:tcPr>
            <w:tcW w:w="106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-78.61 </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323184.89 </w:t>
            </w:r>
          </w:p>
        </w:tc>
        <w:tc>
          <w:tcPr>
            <w:tcW w:w="97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-85.65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33" w:hRule="exact"/>
          <w:jc w:val="center"/>
        </w:trPr>
        <w:tc>
          <w:tcPr>
            <w:tcW w:w="799" w:type="dxa"/>
            <w:shd w:val="clear" w:color="auto" w:fill="FFFFFF"/>
            <w:noWrap w:val="0"/>
            <w:vAlign w:val="center"/>
          </w:tcPr>
          <w:p>
            <w:pPr>
              <w:widowControl/>
              <w:spacing w:line="48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w:t>
            </w:r>
          </w:p>
        </w:tc>
        <w:tc>
          <w:tcPr>
            <w:tcW w:w="119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柳州市</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10326.22 </w:t>
            </w:r>
          </w:p>
        </w:tc>
        <w:tc>
          <w:tcPr>
            <w:tcW w:w="88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9.36 </w:t>
            </w:r>
          </w:p>
        </w:tc>
        <w:tc>
          <w:tcPr>
            <w:tcW w:w="125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3416.68 </w:t>
            </w:r>
          </w:p>
        </w:tc>
        <w:tc>
          <w:tcPr>
            <w:tcW w:w="106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202.23 </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12572.96 </w:t>
            </w:r>
          </w:p>
        </w:tc>
        <w:tc>
          <w:tcPr>
            <w:tcW w:w="97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-17.87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33" w:hRule="exact"/>
          <w:jc w:val="center"/>
        </w:trPr>
        <w:tc>
          <w:tcPr>
            <w:tcW w:w="799" w:type="dxa"/>
            <w:shd w:val="clear" w:color="auto" w:fill="FFFFFF"/>
            <w:noWrap w:val="0"/>
            <w:vAlign w:val="center"/>
          </w:tcPr>
          <w:p>
            <w:pPr>
              <w:widowControl/>
              <w:spacing w:line="48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w:t>
            </w:r>
          </w:p>
        </w:tc>
        <w:tc>
          <w:tcPr>
            <w:tcW w:w="119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桂林市</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28075.07 </w:t>
            </w:r>
          </w:p>
        </w:tc>
        <w:tc>
          <w:tcPr>
            <w:tcW w:w="88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25.45 </w:t>
            </w:r>
          </w:p>
        </w:tc>
        <w:tc>
          <w:tcPr>
            <w:tcW w:w="125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25550.52 </w:t>
            </w:r>
          </w:p>
        </w:tc>
        <w:tc>
          <w:tcPr>
            <w:tcW w:w="106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9.88 </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77013.61 </w:t>
            </w:r>
          </w:p>
        </w:tc>
        <w:tc>
          <w:tcPr>
            <w:tcW w:w="97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-63.55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33" w:hRule="exact"/>
          <w:jc w:val="center"/>
        </w:trPr>
        <w:tc>
          <w:tcPr>
            <w:tcW w:w="799" w:type="dxa"/>
            <w:shd w:val="clear" w:color="auto" w:fill="FFFFFF"/>
            <w:noWrap w:val="0"/>
            <w:vAlign w:val="center"/>
          </w:tcPr>
          <w:p>
            <w:pPr>
              <w:widowControl/>
              <w:spacing w:line="48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w:t>
            </w:r>
          </w:p>
        </w:tc>
        <w:tc>
          <w:tcPr>
            <w:tcW w:w="119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梧州市</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8913.95 </w:t>
            </w:r>
          </w:p>
        </w:tc>
        <w:tc>
          <w:tcPr>
            <w:tcW w:w="88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8.08 </w:t>
            </w:r>
          </w:p>
        </w:tc>
        <w:tc>
          <w:tcPr>
            <w:tcW w:w="125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1654.82 </w:t>
            </w:r>
          </w:p>
        </w:tc>
        <w:tc>
          <w:tcPr>
            <w:tcW w:w="106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438.67 </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494.12 </w:t>
            </w:r>
          </w:p>
        </w:tc>
        <w:tc>
          <w:tcPr>
            <w:tcW w:w="97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1704.01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33" w:hRule="exact"/>
          <w:jc w:val="center"/>
        </w:trPr>
        <w:tc>
          <w:tcPr>
            <w:tcW w:w="799" w:type="dxa"/>
            <w:shd w:val="clear" w:color="auto" w:fill="FFFFFF"/>
            <w:noWrap w:val="0"/>
            <w:vAlign w:val="center"/>
          </w:tcPr>
          <w:p>
            <w:pPr>
              <w:widowControl/>
              <w:spacing w:line="48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w:t>
            </w:r>
          </w:p>
        </w:tc>
        <w:tc>
          <w:tcPr>
            <w:tcW w:w="119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北海市</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4330.01 </w:t>
            </w:r>
          </w:p>
        </w:tc>
        <w:tc>
          <w:tcPr>
            <w:tcW w:w="88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3.93 </w:t>
            </w:r>
          </w:p>
        </w:tc>
        <w:tc>
          <w:tcPr>
            <w:tcW w:w="125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9123.43 </w:t>
            </w:r>
          </w:p>
        </w:tc>
        <w:tc>
          <w:tcPr>
            <w:tcW w:w="106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-52.54 </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10030.60 </w:t>
            </w:r>
          </w:p>
        </w:tc>
        <w:tc>
          <w:tcPr>
            <w:tcW w:w="97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-56.83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33" w:hRule="exact"/>
          <w:jc w:val="center"/>
        </w:trPr>
        <w:tc>
          <w:tcPr>
            <w:tcW w:w="799" w:type="dxa"/>
            <w:shd w:val="clear" w:color="auto" w:fill="FFFFFF"/>
            <w:noWrap w:val="0"/>
            <w:vAlign w:val="center"/>
          </w:tcPr>
          <w:p>
            <w:pPr>
              <w:widowControl/>
              <w:spacing w:line="48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w:t>
            </w:r>
          </w:p>
        </w:tc>
        <w:tc>
          <w:tcPr>
            <w:tcW w:w="119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防城港市</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7263.42 </w:t>
            </w:r>
          </w:p>
        </w:tc>
        <w:tc>
          <w:tcPr>
            <w:tcW w:w="88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6.58 </w:t>
            </w:r>
          </w:p>
        </w:tc>
        <w:tc>
          <w:tcPr>
            <w:tcW w:w="125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7660.60 </w:t>
            </w:r>
          </w:p>
        </w:tc>
        <w:tc>
          <w:tcPr>
            <w:tcW w:w="106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-5.18 </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1758.46 </w:t>
            </w:r>
          </w:p>
        </w:tc>
        <w:tc>
          <w:tcPr>
            <w:tcW w:w="97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313.06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33" w:hRule="exact"/>
          <w:jc w:val="center"/>
        </w:trPr>
        <w:tc>
          <w:tcPr>
            <w:tcW w:w="799" w:type="dxa"/>
            <w:shd w:val="clear" w:color="auto" w:fill="FFFFFF"/>
            <w:noWrap w:val="0"/>
            <w:vAlign w:val="center"/>
          </w:tcPr>
          <w:p>
            <w:pPr>
              <w:widowControl/>
              <w:spacing w:line="48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w:t>
            </w:r>
          </w:p>
        </w:tc>
        <w:tc>
          <w:tcPr>
            <w:tcW w:w="119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钦州市</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222.68 </w:t>
            </w:r>
          </w:p>
        </w:tc>
        <w:tc>
          <w:tcPr>
            <w:tcW w:w="88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0.20 </w:t>
            </w:r>
          </w:p>
        </w:tc>
        <w:tc>
          <w:tcPr>
            <w:tcW w:w="125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281.69 </w:t>
            </w:r>
          </w:p>
        </w:tc>
        <w:tc>
          <w:tcPr>
            <w:tcW w:w="106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-20.95 </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991.13 </w:t>
            </w:r>
          </w:p>
        </w:tc>
        <w:tc>
          <w:tcPr>
            <w:tcW w:w="97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-77.53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33" w:hRule="exact"/>
          <w:jc w:val="center"/>
        </w:trPr>
        <w:tc>
          <w:tcPr>
            <w:tcW w:w="799" w:type="dxa"/>
            <w:shd w:val="clear" w:color="auto" w:fill="FFFFFF"/>
            <w:noWrap w:val="0"/>
            <w:vAlign w:val="center"/>
          </w:tcPr>
          <w:p>
            <w:pPr>
              <w:widowControl/>
              <w:spacing w:line="48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w:t>
            </w:r>
          </w:p>
        </w:tc>
        <w:tc>
          <w:tcPr>
            <w:tcW w:w="119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贵港市</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438.86 </w:t>
            </w:r>
          </w:p>
        </w:tc>
        <w:tc>
          <w:tcPr>
            <w:tcW w:w="88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0.40 </w:t>
            </w:r>
          </w:p>
        </w:tc>
        <w:tc>
          <w:tcPr>
            <w:tcW w:w="125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384.88 </w:t>
            </w:r>
          </w:p>
        </w:tc>
        <w:tc>
          <w:tcPr>
            <w:tcW w:w="106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14.02 </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892.38 </w:t>
            </w:r>
          </w:p>
        </w:tc>
        <w:tc>
          <w:tcPr>
            <w:tcW w:w="97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-50.82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33" w:hRule="exact"/>
          <w:jc w:val="center"/>
        </w:trPr>
        <w:tc>
          <w:tcPr>
            <w:tcW w:w="799" w:type="dxa"/>
            <w:shd w:val="clear" w:color="auto" w:fill="FFFFFF"/>
            <w:noWrap w:val="0"/>
            <w:vAlign w:val="center"/>
          </w:tcPr>
          <w:p>
            <w:pPr>
              <w:widowControl/>
              <w:spacing w:line="48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w:t>
            </w:r>
          </w:p>
        </w:tc>
        <w:tc>
          <w:tcPr>
            <w:tcW w:w="119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玉林市</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2560.64 </w:t>
            </w:r>
          </w:p>
        </w:tc>
        <w:tc>
          <w:tcPr>
            <w:tcW w:w="88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2.32 </w:t>
            </w:r>
          </w:p>
        </w:tc>
        <w:tc>
          <w:tcPr>
            <w:tcW w:w="125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1709.87 </w:t>
            </w:r>
          </w:p>
        </w:tc>
        <w:tc>
          <w:tcPr>
            <w:tcW w:w="106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49.76 </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23570.40 </w:t>
            </w:r>
          </w:p>
        </w:tc>
        <w:tc>
          <w:tcPr>
            <w:tcW w:w="97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-89.14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33" w:hRule="exact"/>
          <w:jc w:val="center"/>
        </w:trPr>
        <w:tc>
          <w:tcPr>
            <w:tcW w:w="799" w:type="dxa"/>
            <w:shd w:val="clear" w:color="auto" w:fill="FFFFFF"/>
            <w:noWrap w:val="0"/>
            <w:vAlign w:val="center"/>
          </w:tcPr>
          <w:p>
            <w:pPr>
              <w:widowControl/>
              <w:spacing w:line="48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w:t>
            </w:r>
          </w:p>
        </w:tc>
        <w:tc>
          <w:tcPr>
            <w:tcW w:w="119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百色市</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174.00 </w:t>
            </w:r>
          </w:p>
        </w:tc>
        <w:tc>
          <w:tcPr>
            <w:tcW w:w="88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0.16 </w:t>
            </w:r>
          </w:p>
        </w:tc>
        <w:tc>
          <w:tcPr>
            <w:tcW w:w="125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3.54 </w:t>
            </w:r>
          </w:p>
        </w:tc>
        <w:tc>
          <w:tcPr>
            <w:tcW w:w="106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4815.25 </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407.76 </w:t>
            </w:r>
          </w:p>
        </w:tc>
        <w:tc>
          <w:tcPr>
            <w:tcW w:w="97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-57.33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33" w:hRule="exact"/>
          <w:jc w:val="center"/>
        </w:trPr>
        <w:tc>
          <w:tcPr>
            <w:tcW w:w="799" w:type="dxa"/>
            <w:shd w:val="clear" w:color="auto" w:fill="FFFFFF"/>
            <w:noWrap w:val="0"/>
            <w:vAlign w:val="center"/>
          </w:tcPr>
          <w:p>
            <w:pPr>
              <w:widowControl/>
              <w:spacing w:line="48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w:t>
            </w:r>
          </w:p>
        </w:tc>
        <w:tc>
          <w:tcPr>
            <w:tcW w:w="119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贺州市</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209.54 </w:t>
            </w:r>
          </w:p>
        </w:tc>
        <w:tc>
          <w:tcPr>
            <w:tcW w:w="88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0.19 </w:t>
            </w:r>
          </w:p>
        </w:tc>
        <w:tc>
          <w:tcPr>
            <w:tcW w:w="125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253.87 </w:t>
            </w:r>
          </w:p>
        </w:tc>
        <w:tc>
          <w:tcPr>
            <w:tcW w:w="106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-17.46 </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15.01 </w:t>
            </w:r>
          </w:p>
        </w:tc>
        <w:tc>
          <w:tcPr>
            <w:tcW w:w="97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1296.00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33" w:hRule="exact"/>
          <w:jc w:val="center"/>
        </w:trPr>
        <w:tc>
          <w:tcPr>
            <w:tcW w:w="799" w:type="dxa"/>
            <w:shd w:val="clear" w:color="auto" w:fill="FFFFFF"/>
            <w:noWrap w:val="0"/>
            <w:vAlign w:val="center"/>
          </w:tcPr>
          <w:p>
            <w:pPr>
              <w:widowControl/>
              <w:spacing w:line="48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w:t>
            </w:r>
          </w:p>
        </w:tc>
        <w:tc>
          <w:tcPr>
            <w:tcW w:w="119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河池市</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460.00 </w:t>
            </w:r>
          </w:p>
        </w:tc>
        <w:tc>
          <w:tcPr>
            <w:tcW w:w="88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0.42 </w:t>
            </w:r>
          </w:p>
        </w:tc>
        <w:tc>
          <w:tcPr>
            <w:tcW w:w="125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2000.00 </w:t>
            </w:r>
          </w:p>
        </w:tc>
        <w:tc>
          <w:tcPr>
            <w:tcW w:w="106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-77.00 </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2150.00 </w:t>
            </w:r>
          </w:p>
        </w:tc>
        <w:tc>
          <w:tcPr>
            <w:tcW w:w="97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-78.60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33" w:hRule="exact"/>
          <w:jc w:val="center"/>
        </w:trPr>
        <w:tc>
          <w:tcPr>
            <w:tcW w:w="799" w:type="dxa"/>
            <w:shd w:val="clear" w:color="auto" w:fill="FFFFFF"/>
            <w:noWrap w:val="0"/>
            <w:vAlign w:val="center"/>
          </w:tcPr>
          <w:p>
            <w:pPr>
              <w:widowControl/>
              <w:spacing w:line="48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w:t>
            </w:r>
          </w:p>
        </w:tc>
        <w:tc>
          <w:tcPr>
            <w:tcW w:w="119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来宾市</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180.00 </w:t>
            </w:r>
          </w:p>
        </w:tc>
        <w:tc>
          <w:tcPr>
            <w:tcW w:w="88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0.16 </w:t>
            </w:r>
          </w:p>
        </w:tc>
        <w:tc>
          <w:tcPr>
            <w:tcW w:w="125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14.00 </w:t>
            </w:r>
          </w:p>
        </w:tc>
        <w:tc>
          <w:tcPr>
            <w:tcW w:w="106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1185.71 </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80.41 </w:t>
            </w:r>
          </w:p>
        </w:tc>
        <w:tc>
          <w:tcPr>
            <w:tcW w:w="97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123.86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33" w:hRule="exact"/>
          <w:jc w:val="center"/>
        </w:trPr>
        <w:tc>
          <w:tcPr>
            <w:tcW w:w="799" w:type="dxa"/>
            <w:shd w:val="clear" w:color="auto" w:fill="FFFFFF"/>
            <w:noWrap w:val="0"/>
            <w:vAlign w:val="center"/>
          </w:tcPr>
          <w:p>
            <w:pPr>
              <w:widowControl/>
              <w:spacing w:line="48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w:t>
            </w:r>
          </w:p>
        </w:tc>
        <w:tc>
          <w:tcPr>
            <w:tcW w:w="119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崇左市</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772.41 </w:t>
            </w:r>
          </w:p>
        </w:tc>
        <w:tc>
          <w:tcPr>
            <w:tcW w:w="88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0.70 </w:t>
            </w:r>
          </w:p>
        </w:tc>
        <w:tc>
          <w:tcPr>
            <w:tcW w:w="125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511.16 </w:t>
            </w:r>
          </w:p>
        </w:tc>
        <w:tc>
          <w:tcPr>
            <w:tcW w:w="106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51.11 </w:t>
            </w:r>
          </w:p>
        </w:tc>
        <w:tc>
          <w:tcPr>
            <w:tcW w:w="126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550.53 </w:t>
            </w:r>
          </w:p>
        </w:tc>
        <w:tc>
          <w:tcPr>
            <w:tcW w:w="97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 xml:space="preserve">40.30 </w:t>
            </w:r>
          </w:p>
        </w:tc>
      </w:tr>
    </w:tbl>
    <w:p>
      <w:pPr>
        <w:spacing w:line="520" w:lineRule="exact"/>
        <w:ind w:left="560" w:hanging="560" w:hangingChars="200"/>
        <w:rPr>
          <w:rFonts w:hint="eastAsia" w:ascii="新宋体" w:hAnsi="新宋体" w:eastAsia="新宋体"/>
          <w:color w:val="auto"/>
          <w:sz w:val="28"/>
          <w:szCs w:val="28"/>
        </w:rPr>
      </w:pPr>
    </w:p>
    <w:p>
      <w:pPr>
        <w:spacing w:line="520" w:lineRule="exact"/>
        <w:ind w:left="560" w:hanging="560" w:hangingChars="200"/>
        <w:rPr>
          <w:rFonts w:hint="eastAsia" w:ascii="新宋体" w:hAnsi="新宋体" w:eastAsia="新宋体"/>
          <w:color w:val="auto"/>
          <w:sz w:val="28"/>
          <w:szCs w:val="28"/>
        </w:rPr>
      </w:pPr>
    </w:p>
    <w:p>
      <w:pPr>
        <w:spacing w:line="520" w:lineRule="exact"/>
        <w:ind w:left="560" w:hanging="560" w:hangingChars="200"/>
        <w:rPr>
          <w:rFonts w:hint="eastAsia" w:ascii="新宋体" w:hAnsi="新宋体" w:eastAsia="新宋体"/>
          <w:color w:val="auto"/>
          <w:sz w:val="28"/>
          <w:szCs w:val="28"/>
        </w:rPr>
      </w:pPr>
      <w:r>
        <w:rPr>
          <w:rFonts w:hint="eastAsia" w:ascii="新宋体" w:hAnsi="新宋体" w:eastAsia="新宋体"/>
          <w:color w:val="auto"/>
          <w:sz w:val="28"/>
          <w:szCs w:val="28"/>
        </w:rPr>
        <w:t>附件2：</w:t>
      </w:r>
    </w:p>
    <w:p>
      <w:pPr>
        <w:spacing w:line="520" w:lineRule="exact"/>
        <w:ind w:left="640" w:hanging="640" w:hangingChars="200"/>
        <w:jc w:val="center"/>
        <w:rPr>
          <w:rFonts w:hint="eastAsia" w:ascii="仿宋_GB2312" w:eastAsia="仿宋_GB2312"/>
          <w:color w:val="auto"/>
          <w:sz w:val="32"/>
          <w:szCs w:val="32"/>
        </w:rPr>
      </w:pPr>
      <w:r>
        <w:rPr>
          <w:rFonts w:hint="eastAsia" w:ascii="黑体" w:hAnsi="黑体" w:eastAsia="黑体"/>
          <w:color w:val="auto"/>
          <w:sz w:val="32"/>
          <w:szCs w:val="32"/>
        </w:rPr>
        <w:t>201</w:t>
      </w:r>
      <w:r>
        <w:rPr>
          <w:rFonts w:hint="eastAsia" w:ascii="黑体" w:hAnsi="黑体" w:eastAsia="黑体"/>
          <w:color w:val="auto"/>
          <w:sz w:val="32"/>
          <w:szCs w:val="32"/>
          <w:lang w:val="en-US" w:eastAsia="zh-CN"/>
        </w:rPr>
        <w:t>9</w:t>
      </w:r>
      <w:r>
        <w:rPr>
          <w:rFonts w:hint="eastAsia" w:ascii="黑体" w:hAnsi="黑体" w:eastAsia="黑体"/>
          <w:color w:val="auto"/>
          <w:sz w:val="32"/>
          <w:szCs w:val="32"/>
        </w:rPr>
        <w:t>年一季度全区各标的拍卖业绩情况表</w:t>
      </w:r>
      <w:r>
        <w:rPr>
          <w:rFonts w:hint="eastAsia" w:ascii="仿宋_GB2312" w:eastAsia="仿宋_GB2312"/>
          <w:color w:val="auto"/>
          <w:sz w:val="32"/>
          <w:szCs w:val="32"/>
        </w:rPr>
        <w:t>（按标的统计）</w:t>
      </w:r>
    </w:p>
    <w:p>
      <w:pPr>
        <w:ind w:left="480" w:hanging="480" w:hangingChars="200"/>
        <w:jc w:val="right"/>
        <w:rPr>
          <w:rFonts w:hint="eastAsia" w:ascii="新宋体" w:hAnsi="新宋体" w:eastAsia="新宋体"/>
          <w:color w:val="auto"/>
          <w:sz w:val="24"/>
        </w:rPr>
      </w:pPr>
      <w:r>
        <w:rPr>
          <w:rFonts w:hint="eastAsia" w:ascii="新宋体" w:hAnsi="新宋体" w:eastAsia="新宋体"/>
          <w:color w:val="auto"/>
          <w:sz w:val="24"/>
        </w:rPr>
        <w:t>单位：万元</w:t>
      </w:r>
    </w:p>
    <w:tbl>
      <w:tblPr>
        <w:tblStyle w:val="6"/>
        <w:tblW w:w="8821" w:type="dxa"/>
        <w:jc w:val="center"/>
        <w:tblInd w:w="0" w:type="dxa"/>
        <w:tblLayout w:type="fixed"/>
        <w:tblCellMar>
          <w:top w:w="15" w:type="dxa"/>
          <w:left w:w="108" w:type="dxa"/>
          <w:bottom w:w="15" w:type="dxa"/>
          <w:right w:w="108" w:type="dxa"/>
        </w:tblCellMar>
      </w:tblPr>
      <w:tblGrid>
        <w:gridCol w:w="1455"/>
        <w:gridCol w:w="1387"/>
        <w:gridCol w:w="959"/>
        <w:gridCol w:w="1421"/>
        <w:gridCol w:w="1272"/>
        <w:gridCol w:w="1251"/>
        <w:gridCol w:w="1076"/>
      </w:tblGrid>
      <w:tr>
        <w:tblPrEx>
          <w:tblLayout w:type="fixed"/>
          <w:tblCellMar>
            <w:top w:w="15" w:type="dxa"/>
            <w:left w:w="108" w:type="dxa"/>
            <w:bottom w:w="15" w:type="dxa"/>
            <w:right w:w="108" w:type="dxa"/>
          </w:tblCellMar>
        </w:tblPrEx>
        <w:trPr>
          <w:jc w:val="center"/>
        </w:trPr>
        <w:tc>
          <w:tcPr>
            <w:tcW w:w="1455" w:type="dxa"/>
            <w:vMerge w:val="restart"/>
            <w:tcBorders>
              <w:top w:val="single" w:color="000000" w:sz="12" w:space="0"/>
              <w:left w:val="single" w:color="000000" w:sz="12"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bCs/>
                <w:color w:val="auto"/>
                <w:kern w:val="0"/>
                <w:sz w:val="21"/>
                <w:szCs w:val="21"/>
              </w:rPr>
              <w:t>标    的</w:t>
            </w:r>
          </w:p>
        </w:tc>
        <w:tc>
          <w:tcPr>
            <w:tcW w:w="1387" w:type="dxa"/>
            <w:vMerge w:val="restart"/>
            <w:tcBorders>
              <w:top w:val="single" w:color="000000" w:sz="12"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bCs/>
                <w:color w:val="auto"/>
                <w:kern w:val="0"/>
                <w:sz w:val="21"/>
                <w:szCs w:val="21"/>
              </w:rPr>
              <w:t>本期值</w:t>
            </w:r>
          </w:p>
        </w:tc>
        <w:tc>
          <w:tcPr>
            <w:tcW w:w="959" w:type="dxa"/>
            <w:vMerge w:val="restart"/>
            <w:tcBorders>
              <w:top w:val="single" w:color="000000" w:sz="12"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bCs/>
                <w:color w:val="auto"/>
                <w:kern w:val="0"/>
                <w:sz w:val="21"/>
                <w:szCs w:val="21"/>
              </w:rPr>
              <w:t>比值</w:t>
            </w:r>
          </w:p>
          <w:p>
            <w:pPr>
              <w:widowControl/>
              <w:jc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bCs/>
                <w:color w:val="auto"/>
                <w:kern w:val="0"/>
                <w:sz w:val="21"/>
                <w:szCs w:val="21"/>
              </w:rPr>
              <w:t>(%)</w:t>
            </w:r>
          </w:p>
        </w:tc>
        <w:tc>
          <w:tcPr>
            <w:tcW w:w="2693" w:type="dxa"/>
            <w:gridSpan w:val="2"/>
            <w:tcBorders>
              <w:top w:val="single" w:color="000000" w:sz="12"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bCs/>
                <w:color w:val="auto"/>
                <w:kern w:val="0"/>
                <w:sz w:val="21"/>
                <w:szCs w:val="21"/>
              </w:rPr>
              <w:t>同比增长</w:t>
            </w:r>
          </w:p>
        </w:tc>
        <w:tc>
          <w:tcPr>
            <w:tcW w:w="2327" w:type="dxa"/>
            <w:gridSpan w:val="2"/>
            <w:tcBorders>
              <w:top w:val="single" w:color="000000" w:sz="12" w:space="0"/>
              <w:left w:val="single" w:color="000000" w:sz="4" w:space="0"/>
              <w:bottom w:val="single" w:color="000000" w:sz="4" w:space="0"/>
              <w:right w:val="single" w:color="000000" w:sz="12" w:space="0"/>
            </w:tcBorders>
            <w:noWrap w:val="0"/>
            <w:vAlign w:val="center"/>
          </w:tcPr>
          <w:p>
            <w:pPr>
              <w:widowControl/>
              <w:jc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bCs/>
                <w:color w:val="auto"/>
                <w:kern w:val="0"/>
                <w:sz w:val="21"/>
                <w:szCs w:val="21"/>
              </w:rPr>
              <w:t>环比增长</w:t>
            </w:r>
          </w:p>
        </w:tc>
      </w:tr>
      <w:tr>
        <w:tblPrEx>
          <w:tblLayout w:type="fixed"/>
          <w:tblCellMar>
            <w:top w:w="15" w:type="dxa"/>
            <w:left w:w="108" w:type="dxa"/>
            <w:bottom w:w="15" w:type="dxa"/>
            <w:right w:w="108" w:type="dxa"/>
          </w:tblCellMar>
        </w:tblPrEx>
        <w:trPr>
          <w:jc w:val="center"/>
        </w:trPr>
        <w:tc>
          <w:tcPr>
            <w:tcW w:w="1455" w:type="dxa"/>
            <w:vMerge w:val="continue"/>
            <w:tcBorders>
              <w:top w:val="single" w:color="000000" w:sz="12" w:space="0"/>
              <w:left w:val="single" w:color="000000" w:sz="12" w:space="0"/>
              <w:bottom w:val="single" w:color="000000" w:sz="4" w:space="0"/>
              <w:right w:val="single" w:color="000000" w:sz="4" w:space="0"/>
            </w:tcBorders>
            <w:noWrap w:val="0"/>
            <w:vAlign w:val="center"/>
          </w:tcPr>
          <w:p>
            <w:pPr>
              <w:widowControl/>
              <w:jc w:val="left"/>
              <w:rPr>
                <w:rFonts w:hint="eastAsia" w:asciiTheme="majorEastAsia" w:hAnsiTheme="majorEastAsia" w:eastAsiaTheme="majorEastAsia" w:cstheme="majorEastAsia"/>
                <w:b/>
                <w:bCs/>
                <w:color w:val="auto"/>
                <w:kern w:val="0"/>
                <w:sz w:val="21"/>
                <w:szCs w:val="21"/>
              </w:rPr>
            </w:pPr>
          </w:p>
        </w:tc>
        <w:tc>
          <w:tcPr>
            <w:tcW w:w="1387" w:type="dxa"/>
            <w:vMerge w:val="continue"/>
            <w:tcBorders>
              <w:top w:val="single" w:color="000000" w:sz="12" w:space="0"/>
              <w:left w:val="single" w:color="000000" w:sz="4" w:space="0"/>
              <w:bottom w:val="single" w:color="000000" w:sz="4" w:space="0"/>
              <w:right w:val="single" w:color="000000" w:sz="4" w:space="0"/>
            </w:tcBorders>
            <w:noWrap w:val="0"/>
            <w:vAlign w:val="center"/>
          </w:tcPr>
          <w:p>
            <w:pPr>
              <w:widowControl/>
              <w:jc w:val="left"/>
              <w:rPr>
                <w:rFonts w:hint="eastAsia" w:asciiTheme="majorEastAsia" w:hAnsiTheme="majorEastAsia" w:eastAsiaTheme="majorEastAsia" w:cstheme="majorEastAsia"/>
                <w:b/>
                <w:bCs/>
                <w:color w:val="auto"/>
                <w:kern w:val="0"/>
                <w:sz w:val="21"/>
                <w:szCs w:val="21"/>
              </w:rPr>
            </w:pPr>
          </w:p>
        </w:tc>
        <w:tc>
          <w:tcPr>
            <w:tcW w:w="959" w:type="dxa"/>
            <w:vMerge w:val="continue"/>
            <w:tcBorders>
              <w:top w:val="single" w:color="000000" w:sz="12" w:space="0"/>
              <w:left w:val="single" w:color="000000" w:sz="4" w:space="0"/>
              <w:bottom w:val="single" w:color="000000" w:sz="4" w:space="0"/>
              <w:right w:val="single" w:color="000000" w:sz="4" w:space="0"/>
            </w:tcBorders>
            <w:noWrap w:val="0"/>
            <w:vAlign w:val="center"/>
          </w:tcPr>
          <w:p>
            <w:pPr>
              <w:widowControl/>
              <w:jc w:val="left"/>
              <w:rPr>
                <w:rFonts w:hint="eastAsia" w:asciiTheme="majorEastAsia" w:hAnsiTheme="majorEastAsia" w:eastAsiaTheme="majorEastAsia" w:cstheme="majorEastAsia"/>
                <w:b/>
                <w:bCs/>
                <w:color w:val="auto"/>
                <w:kern w:val="0"/>
                <w:sz w:val="21"/>
                <w:szCs w:val="21"/>
              </w:rPr>
            </w:pPr>
          </w:p>
        </w:tc>
        <w:tc>
          <w:tcPr>
            <w:tcW w:w="14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bCs/>
                <w:color w:val="auto"/>
                <w:kern w:val="0"/>
                <w:sz w:val="21"/>
                <w:szCs w:val="21"/>
              </w:rPr>
              <w:t>去年同期值</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bCs/>
                <w:color w:val="auto"/>
                <w:kern w:val="0"/>
                <w:sz w:val="21"/>
                <w:szCs w:val="21"/>
              </w:rPr>
              <w:t>增长率(%)</w:t>
            </w:r>
          </w:p>
        </w:tc>
        <w:tc>
          <w:tcPr>
            <w:tcW w:w="12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bCs/>
                <w:color w:val="auto"/>
                <w:kern w:val="0"/>
                <w:sz w:val="21"/>
                <w:szCs w:val="21"/>
              </w:rPr>
              <w:t>上期值</w:t>
            </w:r>
          </w:p>
        </w:tc>
        <w:tc>
          <w:tcPr>
            <w:tcW w:w="107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bCs/>
                <w:color w:val="auto"/>
                <w:kern w:val="0"/>
                <w:sz w:val="18"/>
                <w:szCs w:val="18"/>
              </w:rPr>
              <w:t>增长率(%)</w:t>
            </w:r>
          </w:p>
        </w:tc>
      </w:tr>
      <w:tr>
        <w:tblPrEx>
          <w:tblLayout w:type="fixed"/>
          <w:tblCellMar>
            <w:top w:w="15" w:type="dxa"/>
            <w:left w:w="108" w:type="dxa"/>
            <w:bottom w:w="15" w:type="dxa"/>
            <w:right w:w="108" w:type="dxa"/>
          </w:tblCellMar>
        </w:tblPrEx>
        <w:trPr>
          <w:jc w:val="center"/>
        </w:trPr>
        <w:tc>
          <w:tcPr>
            <w:tcW w:w="1455"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bCs/>
                <w:color w:val="auto"/>
                <w:kern w:val="0"/>
                <w:sz w:val="21"/>
                <w:szCs w:val="21"/>
              </w:rPr>
              <w:t>合    计</w:t>
            </w:r>
          </w:p>
        </w:tc>
        <w:tc>
          <w:tcPr>
            <w:tcW w:w="13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i w:val="0"/>
                <w:color w:val="auto"/>
                <w:kern w:val="0"/>
                <w:sz w:val="21"/>
                <w:szCs w:val="21"/>
                <w:u w:val="none"/>
                <w:lang w:val="en-US" w:eastAsia="zh-CN" w:bidi="ar"/>
              </w:rPr>
              <w:t xml:space="preserve">110312.70 </w:t>
            </w:r>
          </w:p>
        </w:tc>
        <w:tc>
          <w:tcPr>
            <w:tcW w:w="9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i w:val="0"/>
                <w:color w:val="auto"/>
                <w:kern w:val="0"/>
                <w:sz w:val="21"/>
                <w:szCs w:val="21"/>
                <w:u w:val="none"/>
                <w:lang w:val="en-US" w:eastAsia="zh-CN" w:bidi="ar"/>
              </w:rPr>
              <w:t xml:space="preserve">100.00 </w:t>
            </w:r>
          </w:p>
        </w:tc>
        <w:tc>
          <w:tcPr>
            <w:tcW w:w="1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i w:val="0"/>
                <w:color w:val="auto"/>
                <w:kern w:val="0"/>
                <w:sz w:val="21"/>
                <w:szCs w:val="21"/>
                <w:u w:val="none"/>
                <w:lang w:val="en-US" w:eastAsia="zh-CN" w:bidi="ar"/>
              </w:rPr>
              <w:t xml:space="preserve">269374.59 </w:t>
            </w:r>
          </w:p>
        </w:tc>
        <w:tc>
          <w:tcPr>
            <w:tcW w:w="12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i w:val="0"/>
                <w:color w:val="auto"/>
                <w:kern w:val="0"/>
                <w:sz w:val="21"/>
                <w:szCs w:val="21"/>
                <w:u w:val="none"/>
                <w:lang w:val="en-US" w:eastAsia="zh-CN" w:bidi="ar"/>
              </w:rPr>
              <w:t xml:space="preserve">-59.05 </w:t>
            </w:r>
          </w:p>
        </w:tc>
        <w:tc>
          <w:tcPr>
            <w:tcW w:w="12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i w:val="0"/>
                <w:color w:val="auto"/>
                <w:kern w:val="0"/>
                <w:sz w:val="21"/>
                <w:szCs w:val="21"/>
                <w:u w:val="none"/>
                <w:lang w:val="en-US" w:eastAsia="zh-CN" w:bidi="ar"/>
              </w:rPr>
              <w:t xml:space="preserve">453712.27 </w:t>
            </w:r>
          </w:p>
        </w:tc>
        <w:tc>
          <w:tcPr>
            <w:tcW w:w="1076"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i w:val="0"/>
                <w:color w:val="auto"/>
                <w:kern w:val="0"/>
                <w:sz w:val="21"/>
                <w:szCs w:val="21"/>
                <w:u w:val="none"/>
                <w:lang w:val="en-US" w:eastAsia="zh-CN" w:bidi="ar"/>
              </w:rPr>
              <w:t xml:space="preserve">-75.69 </w:t>
            </w:r>
          </w:p>
        </w:tc>
      </w:tr>
      <w:tr>
        <w:tblPrEx>
          <w:tblLayout w:type="fixed"/>
          <w:tblCellMar>
            <w:top w:w="15" w:type="dxa"/>
            <w:left w:w="108" w:type="dxa"/>
            <w:bottom w:w="15" w:type="dxa"/>
            <w:right w:w="108" w:type="dxa"/>
          </w:tblCellMar>
        </w:tblPrEx>
        <w:trPr>
          <w:trHeight w:val="420" w:hRule="exact"/>
          <w:jc w:val="center"/>
        </w:trPr>
        <w:tc>
          <w:tcPr>
            <w:tcW w:w="1455"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房地产</w:t>
            </w:r>
          </w:p>
        </w:tc>
        <w:tc>
          <w:tcPr>
            <w:tcW w:w="13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29354.03 </w:t>
            </w:r>
          </w:p>
        </w:tc>
        <w:tc>
          <w:tcPr>
            <w:tcW w:w="9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26.61 </w:t>
            </w:r>
          </w:p>
        </w:tc>
        <w:tc>
          <w:tcPr>
            <w:tcW w:w="1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40115.73 </w:t>
            </w:r>
          </w:p>
        </w:tc>
        <w:tc>
          <w:tcPr>
            <w:tcW w:w="12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-26.83 </w:t>
            </w:r>
          </w:p>
        </w:tc>
        <w:tc>
          <w:tcPr>
            <w:tcW w:w="12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50846.64 </w:t>
            </w:r>
          </w:p>
        </w:tc>
        <w:tc>
          <w:tcPr>
            <w:tcW w:w="1076"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-42.27 </w:t>
            </w:r>
          </w:p>
        </w:tc>
      </w:tr>
      <w:tr>
        <w:tblPrEx>
          <w:tblLayout w:type="fixed"/>
          <w:tblCellMar>
            <w:top w:w="15" w:type="dxa"/>
            <w:left w:w="108" w:type="dxa"/>
            <w:bottom w:w="15" w:type="dxa"/>
            <w:right w:w="108" w:type="dxa"/>
          </w:tblCellMar>
        </w:tblPrEx>
        <w:trPr>
          <w:trHeight w:val="420" w:hRule="exact"/>
          <w:jc w:val="center"/>
        </w:trPr>
        <w:tc>
          <w:tcPr>
            <w:tcW w:w="1455"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土地使用权</w:t>
            </w:r>
          </w:p>
        </w:tc>
        <w:tc>
          <w:tcPr>
            <w:tcW w:w="13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56113.56 </w:t>
            </w:r>
          </w:p>
        </w:tc>
        <w:tc>
          <w:tcPr>
            <w:tcW w:w="9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50.87 </w:t>
            </w:r>
          </w:p>
        </w:tc>
        <w:tc>
          <w:tcPr>
            <w:tcW w:w="1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85960.65 </w:t>
            </w:r>
          </w:p>
        </w:tc>
        <w:tc>
          <w:tcPr>
            <w:tcW w:w="12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-34.72 </w:t>
            </w:r>
          </w:p>
        </w:tc>
        <w:tc>
          <w:tcPr>
            <w:tcW w:w="12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348312.87 </w:t>
            </w:r>
          </w:p>
        </w:tc>
        <w:tc>
          <w:tcPr>
            <w:tcW w:w="1076"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-83.89 </w:t>
            </w:r>
          </w:p>
        </w:tc>
      </w:tr>
      <w:tr>
        <w:tblPrEx>
          <w:tblLayout w:type="fixed"/>
          <w:tblCellMar>
            <w:top w:w="15" w:type="dxa"/>
            <w:left w:w="108" w:type="dxa"/>
            <w:bottom w:w="15" w:type="dxa"/>
            <w:right w:w="108" w:type="dxa"/>
          </w:tblCellMar>
        </w:tblPrEx>
        <w:trPr>
          <w:trHeight w:val="420" w:hRule="exact"/>
          <w:jc w:val="center"/>
        </w:trPr>
        <w:tc>
          <w:tcPr>
            <w:tcW w:w="1455"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机动车</w:t>
            </w:r>
          </w:p>
        </w:tc>
        <w:tc>
          <w:tcPr>
            <w:tcW w:w="13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1744.94 </w:t>
            </w:r>
          </w:p>
        </w:tc>
        <w:tc>
          <w:tcPr>
            <w:tcW w:w="9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1.58 </w:t>
            </w:r>
          </w:p>
        </w:tc>
        <w:tc>
          <w:tcPr>
            <w:tcW w:w="1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2506.96 </w:t>
            </w:r>
          </w:p>
        </w:tc>
        <w:tc>
          <w:tcPr>
            <w:tcW w:w="12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-30.40 </w:t>
            </w:r>
          </w:p>
        </w:tc>
        <w:tc>
          <w:tcPr>
            <w:tcW w:w="12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3475.72 </w:t>
            </w:r>
          </w:p>
        </w:tc>
        <w:tc>
          <w:tcPr>
            <w:tcW w:w="1076"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-49.80 </w:t>
            </w:r>
          </w:p>
        </w:tc>
      </w:tr>
      <w:tr>
        <w:tblPrEx>
          <w:tblLayout w:type="fixed"/>
          <w:tblCellMar>
            <w:top w:w="15" w:type="dxa"/>
            <w:left w:w="108" w:type="dxa"/>
            <w:bottom w:w="15" w:type="dxa"/>
            <w:right w:w="108" w:type="dxa"/>
          </w:tblCellMar>
        </w:tblPrEx>
        <w:trPr>
          <w:trHeight w:val="420" w:hRule="exact"/>
          <w:jc w:val="center"/>
        </w:trPr>
        <w:tc>
          <w:tcPr>
            <w:tcW w:w="1455"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农副产品</w:t>
            </w:r>
          </w:p>
        </w:tc>
        <w:tc>
          <w:tcPr>
            <w:tcW w:w="13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1119.60 </w:t>
            </w:r>
          </w:p>
        </w:tc>
        <w:tc>
          <w:tcPr>
            <w:tcW w:w="9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1.01 </w:t>
            </w:r>
          </w:p>
        </w:tc>
        <w:tc>
          <w:tcPr>
            <w:tcW w:w="1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3216.33 </w:t>
            </w:r>
          </w:p>
        </w:tc>
        <w:tc>
          <w:tcPr>
            <w:tcW w:w="12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-65.19 </w:t>
            </w:r>
          </w:p>
        </w:tc>
        <w:tc>
          <w:tcPr>
            <w:tcW w:w="12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1461.67 </w:t>
            </w:r>
          </w:p>
        </w:tc>
        <w:tc>
          <w:tcPr>
            <w:tcW w:w="1076"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-23.40 </w:t>
            </w:r>
          </w:p>
        </w:tc>
      </w:tr>
      <w:tr>
        <w:tblPrEx>
          <w:tblLayout w:type="fixed"/>
          <w:tblCellMar>
            <w:top w:w="15" w:type="dxa"/>
            <w:left w:w="108" w:type="dxa"/>
            <w:bottom w:w="15" w:type="dxa"/>
            <w:right w:w="108" w:type="dxa"/>
          </w:tblCellMar>
        </w:tblPrEx>
        <w:trPr>
          <w:jc w:val="center"/>
        </w:trPr>
        <w:tc>
          <w:tcPr>
            <w:tcW w:w="1455"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jc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股权、债权、产权</w:t>
            </w:r>
          </w:p>
        </w:tc>
        <w:tc>
          <w:tcPr>
            <w:tcW w:w="13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2955.37 </w:t>
            </w:r>
          </w:p>
        </w:tc>
        <w:tc>
          <w:tcPr>
            <w:tcW w:w="9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2.68 </w:t>
            </w:r>
          </w:p>
        </w:tc>
        <w:tc>
          <w:tcPr>
            <w:tcW w:w="1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119136.39 </w:t>
            </w:r>
          </w:p>
        </w:tc>
        <w:tc>
          <w:tcPr>
            <w:tcW w:w="12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-97.52 </w:t>
            </w:r>
          </w:p>
        </w:tc>
        <w:tc>
          <w:tcPr>
            <w:tcW w:w="12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28686.88 </w:t>
            </w:r>
          </w:p>
        </w:tc>
        <w:tc>
          <w:tcPr>
            <w:tcW w:w="1076"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-89.70 </w:t>
            </w:r>
          </w:p>
        </w:tc>
      </w:tr>
      <w:tr>
        <w:tblPrEx>
          <w:tblLayout w:type="fixed"/>
          <w:tblCellMar>
            <w:top w:w="15" w:type="dxa"/>
            <w:left w:w="108" w:type="dxa"/>
            <w:bottom w:w="15" w:type="dxa"/>
            <w:right w:w="108" w:type="dxa"/>
          </w:tblCellMar>
        </w:tblPrEx>
        <w:trPr>
          <w:trHeight w:val="420" w:hRule="exact"/>
          <w:jc w:val="center"/>
        </w:trPr>
        <w:tc>
          <w:tcPr>
            <w:tcW w:w="1455"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无形资产</w:t>
            </w:r>
          </w:p>
        </w:tc>
        <w:tc>
          <w:tcPr>
            <w:tcW w:w="13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232.20 </w:t>
            </w:r>
          </w:p>
        </w:tc>
        <w:tc>
          <w:tcPr>
            <w:tcW w:w="9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0.21 </w:t>
            </w:r>
          </w:p>
        </w:tc>
        <w:tc>
          <w:tcPr>
            <w:tcW w:w="1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1460.25 </w:t>
            </w:r>
          </w:p>
        </w:tc>
        <w:tc>
          <w:tcPr>
            <w:tcW w:w="12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-84.10 </w:t>
            </w:r>
          </w:p>
        </w:tc>
        <w:tc>
          <w:tcPr>
            <w:tcW w:w="12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548.00 </w:t>
            </w:r>
          </w:p>
        </w:tc>
        <w:tc>
          <w:tcPr>
            <w:tcW w:w="1076"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-57.63 </w:t>
            </w:r>
          </w:p>
        </w:tc>
      </w:tr>
      <w:tr>
        <w:tblPrEx>
          <w:tblLayout w:type="fixed"/>
          <w:tblCellMar>
            <w:top w:w="15" w:type="dxa"/>
            <w:left w:w="108" w:type="dxa"/>
            <w:bottom w:w="15" w:type="dxa"/>
            <w:right w:w="108" w:type="dxa"/>
          </w:tblCellMar>
        </w:tblPrEx>
        <w:trPr>
          <w:trHeight w:val="420" w:hRule="exact"/>
          <w:jc w:val="center"/>
        </w:trPr>
        <w:tc>
          <w:tcPr>
            <w:tcW w:w="1455"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文物艺术品</w:t>
            </w:r>
          </w:p>
        </w:tc>
        <w:tc>
          <w:tcPr>
            <w:tcW w:w="13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16.80 </w:t>
            </w:r>
          </w:p>
        </w:tc>
        <w:tc>
          <w:tcPr>
            <w:tcW w:w="9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0.02 </w:t>
            </w:r>
          </w:p>
        </w:tc>
        <w:tc>
          <w:tcPr>
            <w:tcW w:w="14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10.10 </w:t>
            </w:r>
          </w:p>
        </w:tc>
        <w:tc>
          <w:tcPr>
            <w:tcW w:w="12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66.34 </w:t>
            </w:r>
          </w:p>
        </w:tc>
        <w:tc>
          <w:tcPr>
            <w:tcW w:w="12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875.36 </w:t>
            </w:r>
          </w:p>
        </w:tc>
        <w:tc>
          <w:tcPr>
            <w:tcW w:w="1076"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-98.08 </w:t>
            </w:r>
          </w:p>
        </w:tc>
      </w:tr>
      <w:tr>
        <w:tblPrEx>
          <w:tblLayout w:type="fixed"/>
          <w:tblCellMar>
            <w:top w:w="15" w:type="dxa"/>
            <w:left w:w="108" w:type="dxa"/>
            <w:bottom w:w="15" w:type="dxa"/>
            <w:right w:w="108" w:type="dxa"/>
          </w:tblCellMar>
        </w:tblPrEx>
        <w:trPr>
          <w:trHeight w:val="420" w:hRule="exact"/>
          <w:jc w:val="center"/>
        </w:trPr>
        <w:tc>
          <w:tcPr>
            <w:tcW w:w="1455" w:type="dxa"/>
            <w:tcBorders>
              <w:top w:val="single" w:color="000000" w:sz="4" w:space="0"/>
              <w:left w:val="single" w:color="000000" w:sz="12" w:space="0"/>
              <w:bottom w:val="single" w:color="000000" w:sz="12"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其他</w:t>
            </w:r>
          </w:p>
        </w:tc>
        <w:tc>
          <w:tcPr>
            <w:tcW w:w="1387" w:type="dxa"/>
            <w:tcBorders>
              <w:top w:val="single" w:color="000000" w:sz="4" w:space="0"/>
              <w:left w:val="single" w:color="000000" w:sz="4" w:space="0"/>
              <w:bottom w:val="single" w:color="000000" w:sz="12"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18776.20 </w:t>
            </w:r>
          </w:p>
        </w:tc>
        <w:tc>
          <w:tcPr>
            <w:tcW w:w="959" w:type="dxa"/>
            <w:tcBorders>
              <w:top w:val="single" w:color="000000" w:sz="4" w:space="0"/>
              <w:left w:val="single" w:color="000000" w:sz="4" w:space="0"/>
              <w:bottom w:val="single" w:color="000000" w:sz="12"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17.02 </w:t>
            </w:r>
          </w:p>
        </w:tc>
        <w:tc>
          <w:tcPr>
            <w:tcW w:w="1421" w:type="dxa"/>
            <w:tcBorders>
              <w:top w:val="single" w:color="000000" w:sz="4" w:space="0"/>
              <w:left w:val="single" w:color="000000" w:sz="4" w:space="0"/>
              <w:bottom w:val="single" w:color="000000" w:sz="12"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16968.18 </w:t>
            </w:r>
          </w:p>
        </w:tc>
        <w:tc>
          <w:tcPr>
            <w:tcW w:w="1272" w:type="dxa"/>
            <w:tcBorders>
              <w:top w:val="single" w:color="000000" w:sz="4" w:space="0"/>
              <w:left w:val="single" w:color="000000" w:sz="4" w:space="0"/>
              <w:bottom w:val="single" w:color="000000" w:sz="12"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10.66 </w:t>
            </w:r>
          </w:p>
        </w:tc>
        <w:tc>
          <w:tcPr>
            <w:tcW w:w="1251" w:type="dxa"/>
            <w:tcBorders>
              <w:top w:val="single" w:color="000000" w:sz="4" w:space="0"/>
              <w:left w:val="single" w:color="000000" w:sz="4" w:space="0"/>
              <w:bottom w:val="single" w:color="000000" w:sz="12"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19505.13 </w:t>
            </w:r>
          </w:p>
        </w:tc>
        <w:tc>
          <w:tcPr>
            <w:tcW w:w="1076" w:type="dxa"/>
            <w:tcBorders>
              <w:top w:val="single" w:color="000000" w:sz="4" w:space="0"/>
              <w:left w:val="single" w:color="000000" w:sz="4" w:space="0"/>
              <w:bottom w:val="single" w:color="000000" w:sz="12" w:space="0"/>
              <w:right w:val="single" w:color="000000" w:sz="12"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-3.74 </w:t>
            </w:r>
          </w:p>
        </w:tc>
      </w:tr>
    </w:tbl>
    <w:p>
      <w:pPr>
        <w:spacing w:line="520" w:lineRule="exact"/>
        <w:ind w:left="560" w:hanging="560" w:hangingChars="200"/>
        <w:rPr>
          <w:rFonts w:hint="eastAsia" w:ascii="新宋体" w:hAnsi="新宋体" w:eastAsia="新宋体"/>
          <w:color w:val="auto"/>
          <w:sz w:val="28"/>
          <w:szCs w:val="28"/>
        </w:rPr>
      </w:pPr>
      <w:r>
        <w:rPr>
          <w:rFonts w:hint="eastAsia" w:ascii="新宋体" w:hAnsi="新宋体" w:eastAsia="新宋体"/>
          <w:color w:val="auto"/>
          <w:sz w:val="28"/>
          <w:szCs w:val="28"/>
        </w:rPr>
        <w:t>附件3</w:t>
      </w:r>
    </w:p>
    <w:p>
      <w:pPr>
        <w:spacing w:line="520" w:lineRule="exact"/>
        <w:ind w:left="640" w:hanging="640" w:hangingChars="200"/>
        <w:jc w:val="center"/>
        <w:rPr>
          <w:rFonts w:hint="eastAsia" w:ascii="黑体" w:hAnsi="黑体" w:eastAsia="黑体"/>
          <w:color w:val="auto"/>
          <w:sz w:val="32"/>
          <w:szCs w:val="32"/>
        </w:rPr>
      </w:pPr>
      <w:r>
        <w:rPr>
          <w:rFonts w:hint="eastAsia" w:ascii="黑体" w:hAnsi="黑体" w:eastAsia="黑体"/>
          <w:color w:val="auto"/>
          <w:sz w:val="32"/>
          <w:szCs w:val="32"/>
        </w:rPr>
        <w:t>201</w:t>
      </w:r>
      <w:r>
        <w:rPr>
          <w:rFonts w:hint="eastAsia" w:ascii="黑体" w:hAnsi="黑体" w:eastAsia="黑体"/>
          <w:color w:val="auto"/>
          <w:sz w:val="32"/>
          <w:szCs w:val="32"/>
          <w:lang w:val="en-US" w:eastAsia="zh-CN"/>
        </w:rPr>
        <w:t>9</w:t>
      </w:r>
      <w:r>
        <w:rPr>
          <w:rFonts w:hint="eastAsia" w:ascii="黑体" w:hAnsi="黑体" w:eastAsia="黑体"/>
          <w:color w:val="auto"/>
          <w:sz w:val="32"/>
          <w:szCs w:val="32"/>
        </w:rPr>
        <w:t>年一季度全区各委托部门拍卖业业绩情况表</w:t>
      </w:r>
    </w:p>
    <w:p>
      <w:pPr>
        <w:spacing w:line="520" w:lineRule="exact"/>
        <w:ind w:left="640" w:hanging="640" w:hangingChars="200"/>
        <w:jc w:val="center"/>
        <w:rPr>
          <w:rFonts w:hint="eastAsia" w:ascii="仿宋_GB2312" w:eastAsia="仿宋_GB2312"/>
          <w:color w:val="auto"/>
          <w:sz w:val="32"/>
          <w:szCs w:val="32"/>
        </w:rPr>
      </w:pPr>
      <w:r>
        <w:rPr>
          <w:rFonts w:hint="eastAsia" w:ascii="仿宋_GB2312" w:eastAsia="仿宋_GB2312"/>
          <w:color w:val="auto"/>
          <w:sz w:val="32"/>
          <w:szCs w:val="32"/>
        </w:rPr>
        <w:t>（按委托部门统计）</w:t>
      </w:r>
    </w:p>
    <w:p>
      <w:pPr>
        <w:ind w:left="480" w:hanging="480" w:hangingChars="200"/>
        <w:jc w:val="right"/>
        <w:rPr>
          <w:rFonts w:hint="eastAsia" w:ascii="新宋体" w:hAnsi="新宋体" w:eastAsia="新宋体"/>
          <w:color w:val="auto"/>
          <w:sz w:val="24"/>
        </w:rPr>
      </w:pPr>
      <w:r>
        <w:rPr>
          <w:rFonts w:hint="eastAsia" w:ascii="新宋体" w:hAnsi="新宋体" w:eastAsia="新宋体"/>
          <w:color w:val="auto"/>
          <w:sz w:val="24"/>
        </w:rPr>
        <w:t>单位：万元</w:t>
      </w:r>
    </w:p>
    <w:tbl>
      <w:tblPr>
        <w:tblStyle w:val="6"/>
        <w:tblW w:w="8545" w:type="dxa"/>
        <w:jc w:val="center"/>
        <w:tblInd w:w="0" w:type="dxa"/>
        <w:tblLayout w:type="fixed"/>
        <w:tblCellMar>
          <w:top w:w="15" w:type="dxa"/>
          <w:left w:w="108" w:type="dxa"/>
          <w:bottom w:w="15" w:type="dxa"/>
          <w:right w:w="108" w:type="dxa"/>
        </w:tblCellMar>
      </w:tblPr>
      <w:tblGrid>
        <w:gridCol w:w="1535"/>
        <w:gridCol w:w="1230"/>
        <w:gridCol w:w="1034"/>
        <w:gridCol w:w="1209"/>
        <w:gridCol w:w="1168"/>
        <w:gridCol w:w="1153"/>
        <w:gridCol w:w="1216"/>
      </w:tblGrid>
      <w:tr>
        <w:tblPrEx>
          <w:tblLayout w:type="fixed"/>
          <w:tblCellMar>
            <w:top w:w="15" w:type="dxa"/>
            <w:left w:w="108" w:type="dxa"/>
            <w:bottom w:w="15" w:type="dxa"/>
            <w:right w:w="108" w:type="dxa"/>
          </w:tblCellMar>
        </w:tblPrEx>
        <w:trPr>
          <w:jc w:val="center"/>
        </w:trPr>
        <w:tc>
          <w:tcPr>
            <w:tcW w:w="1535" w:type="dxa"/>
            <w:vMerge w:val="restart"/>
            <w:tcBorders>
              <w:top w:val="single" w:color="000000" w:sz="12" w:space="0"/>
              <w:left w:val="single" w:color="000000" w:sz="12"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bCs/>
                <w:color w:val="auto"/>
                <w:kern w:val="0"/>
                <w:sz w:val="21"/>
                <w:szCs w:val="21"/>
              </w:rPr>
              <w:t>部    门</w:t>
            </w:r>
          </w:p>
        </w:tc>
        <w:tc>
          <w:tcPr>
            <w:tcW w:w="1230" w:type="dxa"/>
            <w:vMerge w:val="restart"/>
            <w:tcBorders>
              <w:top w:val="single" w:color="000000" w:sz="12"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bCs/>
                <w:color w:val="auto"/>
                <w:kern w:val="0"/>
                <w:sz w:val="21"/>
                <w:szCs w:val="21"/>
              </w:rPr>
              <w:t>本期值</w:t>
            </w:r>
          </w:p>
        </w:tc>
        <w:tc>
          <w:tcPr>
            <w:tcW w:w="1034" w:type="dxa"/>
            <w:vMerge w:val="restart"/>
            <w:tcBorders>
              <w:top w:val="single" w:color="000000" w:sz="12"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bCs/>
                <w:color w:val="auto"/>
                <w:kern w:val="0"/>
                <w:sz w:val="21"/>
                <w:szCs w:val="21"/>
              </w:rPr>
              <w:t>比值(%)</w:t>
            </w:r>
          </w:p>
        </w:tc>
        <w:tc>
          <w:tcPr>
            <w:tcW w:w="2377" w:type="dxa"/>
            <w:gridSpan w:val="2"/>
            <w:tcBorders>
              <w:top w:val="single" w:color="000000" w:sz="12"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bCs/>
                <w:color w:val="auto"/>
                <w:kern w:val="0"/>
                <w:sz w:val="21"/>
                <w:szCs w:val="21"/>
              </w:rPr>
              <w:t>同比增长</w:t>
            </w:r>
          </w:p>
        </w:tc>
        <w:tc>
          <w:tcPr>
            <w:tcW w:w="2369" w:type="dxa"/>
            <w:gridSpan w:val="2"/>
            <w:tcBorders>
              <w:top w:val="single" w:color="000000" w:sz="12" w:space="0"/>
              <w:left w:val="single" w:color="000000" w:sz="4" w:space="0"/>
              <w:bottom w:val="single" w:color="000000" w:sz="4" w:space="0"/>
              <w:right w:val="single" w:color="000000" w:sz="12" w:space="0"/>
            </w:tcBorders>
            <w:noWrap w:val="0"/>
            <w:vAlign w:val="center"/>
          </w:tcPr>
          <w:p>
            <w:pPr>
              <w:widowControl/>
              <w:jc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bCs/>
                <w:color w:val="auto"/>
                <w:kern w:val="0"/>
                <w:sz w:val="21"/>
                <w:szCs w:val="21"/>
              </w:rPr>
              <w:t>环比增长</w:t>
            </w:r>
          </w:p>
        </w:tc>
      </w:tr>
      <w:tr>
        <w:tblPrEx>
          <w:tblLayout w:type="fixed"/>
          <w:tblCellMar>
            <w:top w:w="15" w:type="dxa"/>
            <w:left w:w="108" w:type="dxa"/>
            <w:bottom w:w="15" w:type="dxa"/>
            <w:right w:w="108" w:type="dxa"/>
          </w:tblCellMar>
        </w:tblPrEx>
        <w:trPr>
          <w:jc w:val="center"/>
        </w:trPr>
        <w:tc>
          <w:tcPr>
            <w:tcW w:w="1535" w:type="dxa"/>
            <w:vMerge w:val="continue"/>
            <w:tcBorders>
              <w:top w:val="single" w:color="000000" w:sz="12" w:space="0"/>
              <w:left w:val="single" w:color="000000" w:sz="12" w:space="0"/>
              <w:bottom w:val="single" w:color="000000" w:sz="4" w:space="0"/>
              <w:right w:val="single" w:color="000000" w:sz="4" w:space="0"/>
            </w:tcBorders>
            <w:noWrap w:val="0"/>
            <w:vAlign w:val="center"/>
          </w:tcPr>
          <w:p>
            <w:pPr>
              <w:widowControl/>
              <w:jc w:val="left"/>
              <w:rPr>
                <w:rFonts w:hint="eastAsia" w:asciiTheme="majorEastAsia" w:hAnsiTheme="majorEastAsia" w:eastAsiaTheme="majorEastAsia" w:cstheme="majorEastAsia"/>
                <w:b/>
                <w:bCs/>
                <w:color w:val="auto"/>
                <w:kern w:val="0"/>
                <w:sz w:val="21"/>
                <w:szCs w:val="21"/>
              </w:rPr>
            </w:pPr>
          </w:p>
        </w:tc>
        <w:tc>
          <w:tcPr>
            <w:tcW w:w="1230" w:type="dxa"/>
            <w:vMerge w:val="continue"/>
            <w:tcBorders>
              <w:top w:val="single" w:color="000000" w:sz="12" w:space="0"/>
              <w:left w:val="single" w:color="000000" w:sz="4" w:space="0"/>
              <w:bottom w:val="single" w:color="000000" w:sz="4" w:space="0"/>
              <w:right w:val="single" w:color="000000" w:sz="4" w:space="0"/>
            </w:tcBorders>
            <w:noWrap w:val="0"/>
            <w:vAlign w:val="center"/>
          </w:tcPr>
          <w:p>
            <w:pPr>
              <w:widowControl/>
              <w:jc w:val="left"/>
              <w:rPr>
                <w:rFonts w:hint="eastAsia" w:asciiTheme="majorEastAsia" w:hAnsiTheme="majorEastAsia" w:eastAsiaTheme="majorEastAsia" w:cstheme="majorEastAsia"/>
                <w:b/>
                <w:bCs/>
                <w:color w:val="auto"/>
                <w:kern w:val="0"/>
                <w:sz w:val="21"/>
                <w:szCs w:val="21"/>
              </w:rPr>
            </w:pPr>
          </w:p>
        </w:tc>
        <w:tc>
          <w:tcPr>
            <w:tcW w:w="1034" w:type="dxa"/>
            <w:vMerge w:val="continue"/>
            <w:tcBorders>
              <w:top w:val="single" w:color="000000" w:sz="12" w:space="0"/>
              <w:left w:val="single" w:color="000000" w:sz="4" w:space="0"/>
              <w:bottom w:val="single" w:color="000000" w:sz="4" w:space="0"/>
              <w:right w:val="single" w:color="000000" w:sz="4" w:space="0"/>
            </w:tcBorders>
            <w:noWrap w:val="0"/>
            <w:vAlign w:val="center"/>
          </w:tcPr>
          <w:p>
            <w:pPr>
              <w:widowControl/>
              <w:jc w:val="left"/>
              <w:rPr>
                <w:rFonts w:hint="eastAsia" w:asciiTheme="majorEastAsia" w:hAnsiTheme="majorEastAsia" w:eastAsiaTheme="majorEastAsia" w:cstheme="majorEastAsia"/>
                <w:b/>
                <w:bCs/>
                <w:color w:val="auto"/>
                <w:kern w:val="0"/>
                <w:sz w:val="21"/>
                <w:szCs w:val="21"/>
              </w:rPr>
            </w:pPr>
          </w:p>
        </w:tc>
        <w:tc>
          <w:tcPr>
            <w:tcW w:w="1209"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bCs/>
                <w:color w:val="auto"/>
                <w:kern w:val="0"/>
                <w:sz w:val="18"/>
                <w:szCs w:val="18"/>
              </w:rPr>
              <w:t>去年同期值</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bCs/>
                <w:color w:val="auto"/>
                <w:kern w:val="0"/>
                <w:sz w:val="21"/>
                <w:szCs w:val="21"/>
              </w:rPr>
              <w:t>增长率(%)</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bCs/>
                <w:color w:val="auto"/>
                <w:kern w:val="0"/>
                <w:sz w:val="21"/>
                <w:szCs w:val="21"/>
              </w:rPr>
              <w:t>上期值</w:t>
            </w:r>
          </w:p>
        </w:tc>
        <w:tc>
          <w:tcPr>
            <w:tcW w:w="121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bCs/>
                <w:color w:val="auto"/>
                <w:kern w:val="0"/>
                <w:sz w:val="21"/>
                <w:szCs w:val="21"/>
              </w:rPr>
              <w:t>增长率(%)</w:t>
            </w:r>
          </w:p>
        </w:tc>
      </w:tr>
      <w:tr>
        <w:tblPrEx>
          <w:tblLayout w:type="fixed"/>
          <w:tblCellMar>
            <w:top w:w="15" w:type="dxa"/>
            <w:left w:w="108" w:type="dxa"/>
            <w:bottom w:w="15" w:type="dxa"/>
            <w:right w:w="108" w:type="dxa"/>
          </w:tblCellMar>
        </w:tblPrEx>
        <w:trPr>
          <w:trHeight w:val="420" w:hRule="exact"/>
          <w:jc w:val="center"/>
        </w:trPr>
        <w:tc>
          <w:tcPr>
            <w:tcW w:w="1535"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b/>
                <w:bCs/>
                <w:color w:val="auto"/>
                <w:kern w:val="0"/>
                <w:sz w:val="21"/>
                <w:szCs w:val="21"/>
              </w:rPr>
              <w:t>合    计</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110312.70 </w:t>
            </w: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100.00 </w:t>
            </w:r>
          </w:p>
        </w:tc>
        <w:tc>
          <w:tcPr>
            <w:tcW w:w="1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262955.36 </w:t>
            </w:r>
          </w:p>
        </w:tc>
        <w:tc>
          <w:tcPr>
            <w:tcW w:w="11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-58.05 </w:t>
            </w:r>
          </w:p>
        </w:tc>
        <w:tc>
          <w:tcPr>
            <w:tcW w:w="11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453712.27 </w:t>
            </w:r>
          </w:p>
        </w:tc>
        <w:tc>
          <w:tcPr>
            <w:tcW w:w="1216"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-75.69 </w:t>
            </w:r>
          </w:p>
        </w:tc>
      </w:tr>
      <w:tr>
        <w:tblPrEx>
          <w:tblLayout w:type="fixed"/>
          <w:tblCellMar>
            <w:top w:w="15" w:type="dxa"/>
            <w:left w:w="108" w:type="dxa"/>
            <w:bottom w:w="15" w:type="dxa"/>
            <w:right w:w="108" w:type="dxa"/>
          </w:tblCellMar>
        </w:tblPrEx>
        <w:trPr>
          <w:trHeight w:val="420" w:hRule="exact"/>
          <w:jc w:val="center"/>
        </w:trPr>
        <w:tc>
          <w:tcPr>
            <w:tcW w:w="1535"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法院</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14266.12 </w:t>
            </w: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12.93 </w:t>
            </w:r>
          </w:p>
        </w:tc>
        <w:tc>
          <w:tcPr>
            <w:tcW w:w="1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8211.02 </w:t>
            </w:r>
          </w:p>
        </w:tc>
        <w:tc>
          <w:tcPr>
            <w:tcW w:w="11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73.74 </w:t>
            </w:r>
          </w:p>
        </w:tc>
        <w:tc>
          <w:tcPr>
            <w:tcW w:w="11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14852.56 </w:t>
            </w:r>
          </w:p>
        </w:tc>
        <w:tc>
          <w:tcPr>
            <w:tcW w:w="1216"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-3.95 </w:t>
            </w:r>
          </w:p>
        </w:tc>
      </w:tr>
      <w:tr>
        <w:tblPrEx>
          <w:tblLayout w:type="fixed"/>
          <w:tblCellMar>
            <w:top w:w="15" w:type="dxa"/>
            <w:left w:w="108" w:type="dxa"/>
            <w:bottom w:w="15" w:type="dxa"/>
            <w:right w:w="108" w:type="dxa"/>
          </w:tblCellMar>
        </w:tblPrEx>
        <w:trPr>
          <w:trHeight w:val="420" w:hRule="exact"/>
          <w:jc w:val="center"/>
        </w:trPr>
        <w:tc>
          <w:tcPr>
            <w:tcW w:w="1535"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政府部门</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80848.59 </w:t>
            </w: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73.29 </w:t>
            </w:r>
          </w:p>
        </w:tc>
        <w:tc>
          <w:tcPr>
            <w:tcW w:w="1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64064.82 </w:t>
            </w:r>
          </w:p>
        </w:tc>
        <w:tc>
          <w:tcPr>
            <w:tcW w:w="11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26.20 </w:t>
            </w:r>
          </w:p>
        </w:tc>
        <w:tc>
          <w:tcPr>
            <w:tcW w:w="11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278964.63 </w:t>
            </w:r>
          </w:p>
        </w:tc>
        <w:tc>
          <w:tcPr>
            <w:tcW w:w="1216"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-71.02 </w:t>
            </w:r>
          </w:p>
        </w:tc>
      </w:tr>
      <w:tr>
        <w:tblPrEx>
          <w:tblLayout w:type="fixed"/>
          <w:tblCellMar>
            <w:top w:w="15" w:type="dxa"/>
            <w:left w:w="108" w:type="dxa"/>
            <w:bottom w:w="15" w:type="dxa"/>
            <w:right w:w="108" w:type="dxa"/>
          </w:tblCellMar>
        </w:tblPrEx>
        <w:trPr>
          <w:trHeight w:val="420" w:hRule="exact"/>
          <w:jc w:val="center"/>
        </w:trPr>
        <w:tc>
          <w:tcPr>
            <w:tcW w:w="1535"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金融资产机构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4134.88 </w:t>
            </w: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3.75 </w:t>
            </w:r>
          </w:p>
        </w:tc>
        <w:tc>
          <w:tcPr>
            <w:tcW w:w="1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146164.04 </w:t>
            </w:r>
          </w:p>
        </w:tc>
        <w:tc>
          <w:tcPr>
            <w:tcW w:w="11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-97.17 </w:t>
            </w:r>
          </w:p>
        </w:tc>
        <w:tc>
          <w:tcPr>
            <w:tcW w:w="11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94129.86 </w:t>
            </w:r>
          </w:p>
        </w:tc>
        <w:tc>
          <w:tcPr>
            <w:tcW w:w="1216"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-95.61 </w:t>
            </w:r>
          </w:p>
        </w:tc>
      </w:tr>
      <w:tr>
        <w:tblPrEx>
          <w:tblLayout w:type="fixed"/>
          <w:tblCellMar>
            <w:top w:w="15" w:type="dxa"/>
            <w:left w:w="108" w:type="dxa"/>
            <w:bottom w:w="15" w:type="dxa"/>
            <w:right w:w="108" w:type="dxa"/>
          </w:tblCellMar>
        </w:tblPrEx>
        <w:trPr>
          <w:trHeight w:val="420" w:hRule="exact"/>
          <w:jc w:val="center"/>
        </w:trPr>
        <w:tc>
          <w:tcPr>
            <w:tcW w:w="1535"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破产清算组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87.70 </w:t>
            </w: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0.08 </w:t>
            </w:r>
          </w:p>
        </w:tc>
        <w:tc>
          <w:tcPr>
            <w:tcW w:w="1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0.00 </w:t>
            </w:r>
          </w:p>
        </w:tc>
        <w:tc>
          <w:tcPr>
            <w:tcW w:w="11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Theme="majorEastAsia" w:hAnsiTheme="majorEastAsia" w:eastAsiaTheme="majorEastAsia" w:cstheme="majorEastAsia"/>
                <w:color w:val="auto"/>
                <w:kern w:val="0"/>
                <w:sz w:val="21"/>
                <w:szCs w:val="21"/>
              </w:rPr>
            </w:pPr>
          </w:p>
        </w:tc>
        <w:tc>
          <w:tcPr>
            <w:tcW w:w="11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36.65 </w:t>
            </w:r>
          </w:p>
        </w:tc>
        <w:tc>
          <w:tcPr>
            <w:tcW w:w="1216"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139.29 </w:t>
            </w:r>
          </w:p>
        </w:tc>
      </w:tr>
      <w:tr>
        <w:tblPrEx>
          <w:tblLayout w:type="fixed"/>
          <w:tblCellMar>
            <w:top w:w="15" w:type="dxa"/>
            <w:left w:w="108" w:type="dxa"/>
            <w:bottom w:w="15" w:type="dxa"/>
            <w:right w:w="108" w:type="dxa"/>
          </w:tblCellMar>
        </w:tblPrEx>
        <w:trPr>
          <w:trHeight w:val="420" w:hRule="exact"/>
          <w:jc w:val="center"/>
        </w:trPr>
        <w:tc>
          <w:tcPr>
            <w:tcW w:w="1535"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其他机构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9184.43 </w:t>
            </w: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8.33 </w:t>
            </w:r>
          </w:p>
        </w:tc>
        <w:tc>
          <w:tcPr>
            <w:tcW w:w="1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43579.86 </w:t>
            </w:r>
          </w:p>
        </w:tc>
        <w:tc>
          <w:tcPr>
            <w:tcW w:w="11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-78.93 </w:t>
            </w:r>
          </w:p>
        </w:tc>
        <w:tc>
          <w:tcPr>
            <w:tcW w:w="11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52891.71 </w:t>
            </w:r>
          </w:p>
        </w:tc>
        <w:tc>
          <w:tcPr>
            <w:tcW w:w="1216"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-82.64 </w:t>
            </w:r>
          </w:p>
        </w:tc>
      </w:tr>
      <w:tr>
        <w:tblPrEx>
          <w:tblLayout w:type="fixed"/>
          <w:tblCellMar>
            <w:top w:w="15" w:type="dxa"/>
            <w:left w:w="108" w:type="dxa"/>
            <w:bottom w:w="15" w:type="dxa"/>
            <w:right w:w="108" w:type="dxa"/>
          </w:tblCellMar>
        </w:tblPrEx>
        <w:trPr>
          <w:trHeight w:val="420" w:hRule="exact"/>
          <w:jc w:val="center"/>
        </w:trPr>
        <w:tc>
          <w:tcPr>
            <w:tcW w:w="1535" w:type="dxa"/>
            <w:tcBorders>
              <w:top w:val="single" w:color="000000" w:sz="4" w:space="0"/>
              <w:left w:val="single" w:color="000000" w:sz="12" w:space="0"/>
              <w:bottom w:val="single" w:color="000000" w:sz="12"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个人</w:t>
            </w:r>
          </w:p>
        </w:tc>
        <w:tc>
          <w:tcPr>
            <w:tcW w:w="1230" w:type="dxa"/>
            <w:tcBorders>
              <w:top w:val="single" w:color="000000" w:sz="4" w:space="0"/>
              <w:left w:val="single" w:color="000000" w:sz="4" w:space="0"/>
              <w:bottom w:val="single" w:color="000000" w:sz="12"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1790.98 </w:t>
            </w:r>
          </w:p>
        </w:tc>
        <w:tc>
          <w:tcPr>
            <w:tcW w:w="1034" w:type="dxa"/>
            <w:tcBorders>
              <w:top w:val="single" w:color="000000" w:sz="4" w:space="0"/>
              <w:left w:val="single" w:color="000000" w:sz="4" w:space="0"/>
              <w:bottom w:val="single" w:color="000000" w:sz="12"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1.62 </w:t>
            </w:r>
          </w:p>
        </w:tc>
        <w:tc>
          <w:tcPr>
            <w:tcW w:w="1209" w:type="dxa"/>
            <w:tcBorders>
              <w:top w:val="single" w:color="000000" w:sz="4" w:space="0"/>
              <w:left w:val="single" w:color="000000" w:sz="4" w:space="0"/>
              <w:bottom w:val="single" w:color="000000" w:sz="12"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935.63 </w:t>
            </w:r>
          </w:p>
        </w:tc>
        <w:tc>
          <w:tcPr>
            <w:tcW w:w="1168" w:type="dxa"/>
            <w:tcBorders>
              <w:top w:val="single" w:color="000000" w:sz="4" w:space="0"/>
              <w:left w:val="single" w:color="000000" w:sz="4" w:space="0"/>
              <w:bottom w:val="single" w:color="000000" w:sz="12"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91.42 </w:t>
            </w:r>
          </w:p>
        </w:tc>
        <w:tc>
          <w:tcPr>
            <w:tcW w:w="1153" w:type="dxa"/>
            <w:tcBorders>
              <w:top w:val="single" w:color="000000" w:sz="4" w:space="0"/>
              <w:left w:val="single" w:color="000000" w:sz="4" w:space="0"/>
              <w:bottom w:val="single" w:color="000000" w:sz="12"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12836.86 </w:t>
            </w:r>
          </w:p>
        </w:tc>
        <w:tc>
          <w:tcPr>
            <w:tcW w:w="1216" w:type="dxa"/>
            <w:tcBorders>
              <w:top w:val="single" w:color="000000" w:sz="4" w:space="0"/>
              <w:left w:val="single" w:color="000000" w:sz="4" w:space="0"/>
              <w:bottom w:val="single" w:color="000000" w:sz="12" w:space="0"/>
              <w:right w:val="single" w:color="000000" w:sz="12"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i w:val="0"/>
                <w:color w:val="auto"/>
                <w:kern w:val="0"/>
                <w:sz w:val="21"/>
                <w:szCs w:val="21"/>
                <w:u w:val="none"/>
                <w:lang w:val="en-US" w:eastAsia="zh-CN" w:bidi="ar"/>
              </w:rPr>
              <w:t xml:space="preserve">-86.05 </w:t>
            </w:r>
          </w:p>
        </w:tc>
      </w:tr>
    </w:tbl>
    <w:p>
      <w:pPr>
        <w:spacing w:line="500" w:lineRule="exact"/>
        <w:ind w:left="640" w:hanging="560" w:hangingChars="200"/>
        <w:rPr>
          <w:rFonts w:hint="eastAsia" w:ascii="仿宋_GB2312" w:eastAsia="仿宋_GB2312"/>
          <w:color w:val="auto"/>
          <w:sz w:val="28"/>
          <w:szCs w:val="28"/>
        </w:rPr>
      </w:pPr>
      <w:r>
        <w:rPr>
          <w:rFonts w:hint="eastAsia" w:ascii="仿宋_GB2312" w:eastAsia="仿宋_GB2312"/>
          <w:color w:val="auto"/>
          <w:sz w:val="28"/>
          <w:szCs w:val="28"/>
        </w:rPr>
        <w:t>附件4：</w:t>
      </w:r>
    </w:p>
    <w:p>
      <w:pPr>
        <w:spacing w:line="500" w:lineRule="exact"/>
        <w:ind w:left="640" w:hanging="640" w:hangingChars="200"/>
        <w:jc w:val="center"/>
        <w:rPr>
          <w:rFonts w:hint="eastAsia" w:ascii="仿宋_GB2312" w:eastAsia="仿宋_GB2312"/>
          <w:color w:val="auto"/>
          <w:sz w:val="32"/>
          <w:szCs w:val="32"/>
        </w:rPr>
      </w:pPr>
      <w:r>
        <w:rPr>
          <w:rFonts w:hint="eastAsia" w:ascii="黑体" w:hAnsi="黑体" w:eastAsia="黑体"/>
          <w:color w:val="auto"/>
          <w:sz w:val="32"/>
          <w:szCs w:val="32"/>
        </w:rPr>
        <w:t>201</w:t>
      </w:r>
      <w:r>
        <w:rPr>
          <w:rFonts w:hint="eastAsia" w:ascii="黑体" w:hAnsi="黑体" w:eastAsia="黑体"/>
          <w:color w:val="auto"/>
          <w:sz w:val="32"/>
          <w:szCs w:val="32"/>
          <w:lang w:val="en-US" w:eastAsia="zh-CN"/>
        </w:rPr>
        <w:t>9</w:t>
      </w:r>
      <w:r>
        <w:rPr>
          <w:rFonts w:hint="eastAsia" w:ascii="黑体" w:hAnsi="黑体" w:eastAsia="黑体"/>
          <w:color w:val="auto"/>
          <w:sz w:val="32"/>
          <w:szCs w:val="32"/>
        </w:rPr>
        <w:t>年一季度全区拍卖佣金收取情况表</w:t>
      </w:r>
      <w:r>
        <w:rPr>
          <w:rFonts w:hint="eastAsia" w:ascii="仿宋_GB2312" w:eastAsia="仿宋_GB2312"/>
          <w:color w:val="auto"/>
          <w:sz w:val="32"/>
          <w:szCs w:val="32"/>
        </w:rPr>
        <w:t>（按标的统计）</w:t>
      </w:r>
    </w:p>
    <w:p>
      <w:pPr>
        <w:ind w:left="480" w:hanging="480" w:hangingChars="200"/>
        <w:jc w:val="right"/>
        <w:rPr>
          <w:rFonts w:hint="eastAsia" w:ascii="新宋体" w:hAnsi="新宋体" w:eastAsia="新宋体"/>
          <w:color w:val="auto"/>
          <w:sz w:val="24"/>
        </w:rPr>
      </w:pPr>
      <w:r>
        <w:rPr>
          <w:rFonts w:hint="eastAsia" w:ascii="新宋体" w:hAnsi="新宋体" w:eastAsia="新宋体"/>
          <w:color w:val="auto"/>
          <w:sz w:val="24"/>
        </w:rPr>
        <w:t>单位：万元</w:t>
      </w:r>
    </w:p>
    <w:tbl>
      <w:tblPr>
        <w:tblStyle w:val="6"/>
        <w:tblW w:w="8899" w:type="dxa"/>
        <w:jc w:val="center"/>
        <w:tblInd w:w="93" w:type="dxa"/>
        <w:tblLayout w:type="fixed"/>
        <w:tblCellMar>
          <w:top w:w="15" w:type="dxa"/>
          <w:left w:w="108" w:type="dxa"/>
          <w:bottom w:w="15" w:type="dxa"/>
          <w:right w:w="108" w:type="dxa"/>
        </w:tblCellMar>
      </w:tblPr>
      <w:tblGrid>
        <w:gridCol w:w="1275"/>
        <w:gridCol w:w="1001"/>
        <w:gridCol w:w="905"/>
        <w:gridCol w:w="1038"/>
        <w:gridCol w:w="1095"/>
        <w:gridCol w:w="1093"/>
        <w:gridCol w:w="1052"/>
        <w:gridCol w:w="1440"/>
      </w:tblGrid>
      <w:tr>
        <w:tblPrEx>
          <w:tblLayout w:type="fixed"/>
          <w:tblCellMar>
            <w:top w:w="15" w:type="dxa"/>
            <w:left w:w="108" w:type="dxa"/>
            <w:bottom w:w="15" w:type="dxa"/>
            <w:right w:w="108" w:type="dxa"/>
          </w:tblCellMar>
        </w:tblPrEx>
        <w:trPr>
          <w:jc w:val="center"/>
        </w:trPr>
        <w:tc>
          <w:tcPr>
            <w:tcW w:w="1275" w:type="dxa"/>
            <w:tcBorders>
              <w:top w:val="single" w:color="000000" w:sz="12" w:space="0"/>
              <w:left w:val="single" w:color="000000" w:sz="12" w:space="0"/>
              <w:bottom w:val="single" w:color="000000" w:sz="4" w:space="0"/>
              <w:right w:val="single" w:color="000000" w:sz="4" w:space="0"/>
            </w:tcBorders>
            <w:shd w:val="clear" w:color="auto" w:fill="auto"/>
            <w:noWrap w:val="0"/>
            <w:vAlign w:val="center"/>
          </w:tcPr>
          <w:p>
            <w:pPr>
              <w:widowControl/>
              <w:jc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bCs/>
                <w:color w:val="auto"/>
                <w:kern w:val="0"/>
                <w:sz w:val="18"/>
                <w:szCs w:val="18"/>
              </w:rPr>
              <w:t>标   的</w:t>
            </w:r>
          </w:p>
        </w:tc>
        <w:tc>
          <w:tcPr>
            <w:tcW w:w="1001" w:type="dxa"/>
            <w:tcBorders>
              <w:top w:val="single" w:color="000000" w:sz="12"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bCs/>
                <w:color w:val="auto"/>
                <w:kern w:val="0"/>
                <w:sz w:val="18"/>
                <w:szCs w:val="18"/>
              </w:rPr>
              <w:t>201</w:t>
            </w:r>
            <w:r>
              <w:rPr>
                <w:rFonts w:hint="eastAsia" w:asciiTheme="majorEastAsia" w:hAnsiTheme="majorEastAsia" w:eastAsiaTheme="majorEastAsia" w:cstheme="majorEastAsia"/>
                <w:b/>
                <w:bCs/>
                <w:color w:val="auto"/>
                <w:kern w:val="0"/>
                <w:sz w:val="18"/>
                <w:szCs w:val="18"/>
                <w:lang w:val="en-US" w:eastAsia="zh-CN"/>
              </w:rPr>
              <w:t>9</w:t>
            </w:r>
            <w:r>
              <w:rPr>
                <w:rFonts w:hint="eastAsia" w:asciiTheme="majorEastAsia" w:hAnsiTheme="majorEastAsia" w:eastAsiaTheme="majorEastAsia" w:cstheme="majorEastAsia"/>
                <w:b/>
                <w:bCs/>
                <w:color w:val="auto"/>
                <w:kern w:val="0"/>
                <w:sz w:val="18"/>
                <w:szCs w:val="18"/>
              </w:rPr>
              <w:t>年1季度成交额</w:t>
            </w:r>
          </w:p>
        </w:tc>
        <w:tc>
          <w:tcPr>
            <w:tcW w:w="905" w:type="dxa"/>
            <w:tcBorders>
              <w:top w:val="single" w:color="000000" w:sz="12"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bCs/>
                <w:color w:val="auto"/>
                <w:kern w:val="0"/>
                <w:sz w:val="18"/>
                <w:szCs w:val="18"/>
              </w:rPr>
              <w:t>201</w:t>
            </w:r>
            <w:r>
              <w:rPr>
                <w:rFonts w:hint="eastAsia" w:asciiTheme="majorEastAsia" w:hAnsiTheme="majorEastAsia" w:eastAsiaTheme="majorEastAsia" w:cstheme="majorEastAsia"/>
                <w:b/>
                <w:bCs/>
                <w:color w:val="auto"/>
                <w:kern w:val="0"/>
                <w:sz w:val="18"/>
                <w:szCs w:val="18"/>
                <w:lang w:val="en-US" w:eastAsia="zh-CN"/>
              </w:rPr>
              <w:t>9</w:t>
            </w:r>
            <w:r>
              <w:rPr>
                <w:rFonts w:hint="eastAsia" w:asciiTheme="majorEastAsia" w:hAnsiTheme="majorEastAsia" w:eastAsiaTheme="majorEastAsia" w:cstheme="majorEastAsia"/>
                <w:b/>
                <w:bCs/>
                <w:color w:val="auto"/>
                <w:kern w:val="0"/>
                <w:sz w:val="18"/>
                <w:szCs w:val="18"/>
              </w:rPr>
              <w:t>年1季度佣金额</w:t>
            </w:r>
          </w:p>
        </w:tc>
        <w:tc>
          <w:tcPr>
            <w:tcW w:w="1038" w:type="dxa"/>
            <w:tcBorders>
              <w:top w:val="single" w:color="000000" w:sz="12"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bCs/>
                <w:color w:val="auto"/>
                <w:kern w:val="0"/>
                <w:sz w:val="18"/>
                <w:szCs w:val="18"/>
              </w:rPr>
              <w:t>201</w:t>
            </w:r>
            <w:r>
              <w:rPr>
                <w:rFonts w:hint="eastAsia" w:asciiTheme="majorEastAsia" w:hAnsiTheme="majorEastAsia" w:eastAsiaTheme="majorEastAsia" w:cstheme="majorEastAsia"/>
                <w:b/>
                <w:bCs/>
                <w:color w:val="auto"/>
                <w:kern w:val="0"/>
                <w:sz w:val="18"/>
                <w:szCs w:val="18"/>
                <w:lang w:val="en-US" w:eastAsia="zh-CN"/>
              </w:rPr>
              <w:t>9</w:t>
            </w:r>
            <w:r>
              <w:rPr>
                <w:rFonts w:hint="eastAsia" w:asciiTheme="majorEastAsia" w:hAnsiTheme="majorEastAsia" w:eastAsiaTheme="majorEastAsia" w:cstheme="majorEastAsia"/>
                <w:b/>
                <w:bCs/>
                <w:color w:val="auto"/>
                <w:kern w:val="0"/>
                <w:sz w:val="18"/>
                <w:szCs w:val="18"/>
              </w:rPr>
              <w:t>年1季度佣金收取率（%）</w:t>
            </w:r>
          </w:p>
        </w:tc>
        <w:tc>
          <w:tcPr>
            <w:tcW w:w="1095" w:type="dxa"/>
            <w:tcBorders>
              <w:top w:val="single" w:color="000000" w:sz="12"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bCs/>
                <w:color w:val="auto"/>
                <w:kern w:val="0"/>
                <w:sz w:val="18"/>
                <w:szCs w:val="18"/>
              </w:rPr>
              <w:t>201</w:t>
            </w:r>
            <w:r>
              <w:rPr>
                <w:rFonts w:hint="eastAsia" w:asciiTheme="majorEastAsia" w:hAnsiTheme="majorEastAsia" w:eastAsiaTheme="majorEastAsia" w:cstheme="majorEastAsia"/>
                <w:b/>
                <w:bCs/>
                <w:color w:val="auto"/>
                <w:kern w:val="0"/>
                <w:sz w:val="18"/>
                <w:szCs w:val="18"/>
                <w:lang w:val="en-US" w:eastAsia="zh-CN"/>
              </w:rPr>
              <w:t>8</w:t>
            </w:r>
            <w:r>
              <w:rPr>
                <w:rFonts w:hint="eastAsia" w:asciiTheme="majorEastAsia" w:hAnsiTheme="majorEastAsia" w:eastAsiaTheme="majorEastAsia" w:cstheme="majorEastAsia"/>
                <w:b/>
                <w:bCs/>
                <w:color w:val="auto"/>
                <w:kern w:val="0"/>
                <w:sz w:val="18"/>
                <w:szCs w:val="18"/>
              </w:rPr>
              <w:t>年1季度成交额</w:t>
            </w:r>
          </w:p>
        </w:tc>
        <w:tc>
          <w:tcPr>
            <w:tcW w:w="1093" w:type="dxa"/>
            <w:tcBorders>
              <w:top w:val="single" w:color="000000" w:sz="12"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bCs/>
                <w:color w:val="auto"/>
                <w:kern w:val="0"/>
                <w:sz w:val="18"/>
                <w:szCs w:val="18"/>
              </w:rPr>
              <w:t>201</w:t>
            </w:r>
            <w:r>
              <w:rPr>
                <w:rFonts w:hint="eastAsia" w:asciiTheme="majorEastAsia" w:hAnsiTheme="majorEastAsia" w:eastAsiaTheme="majorEastAsia" w:cstheme="majorEastAsia"/>
                <w:b/>
                <w:bCs/>
                <w:color w:val="auto"/>
                <w:kern w:val="0"/>
                <w:sz w:val="18"/>
                <w:szCs w:val="18"/>
                <w:lang w:val="en-US" w:eastAsia="zh-CN"/>
              </w:rPr>
              <w:t>8</w:t>
            </w:r>
            <w:r>
              <w:rPr>
                <w:rFonts w:hint="eastAsia" w:asciiTheme="majorEastAsia" w:hAnsiTheme="majorEastAsia" w:eastAsiaTheme="majorEastAsia" w:cstheme="majorEastAsia"/>
                <w:b/>
                <w:bCs/>
                <w:color w:val="auto"/>
                <w:kern w:val="0"/>
                <w:sz w:val="18"/>
                <w:szCs w:val="18"/>
              </w:rPr>
              <w:t>年1季度佣金额</w:t>
            </w:r>
          </w:p>
        </w:tc>
        <w:tc>
          <w:tcPr>
            <w:tcW w:w="1052" w:type="dxa"/>
            <w:tcBorders>
              <w:top w:val="single" w:color="000000" w:sz="12"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bCs/>
                <w:color w:val="auto"/>
                <w:kern w:val="0"/>
                <w:sz w:val="18"/>
                <w:szCs w:val="18"/>
              </w:rPr>
              <w:t>201</w:t>
            </w:r>
            <w:r>
              <w:rPr>
                <w:rFonts w:hint="eastAsia" w:asciiTheme="majorEastAsia" w:hAnsiTheme="majorEastAsia" w:eastAsiaTheme="majorEastAsia" w:cstheme="majorEastAsia"/>
                <w:b/>
                <w:bCs/>
                <w:color w:val="auto"/>
                <w:kern w:val="0"/>
                <w:sz w:val="18"/>
                <w:szCs w:val="18"/>
                <w:lang w:val="en-US" w:eastAsia="zh-CN"/>
              </w:rPr>
              <w:t>8</w:t>
            </w:r>
            <w:r>
              <w:rPr>
                <w:rFonts w:hint="eastAsia" w:asciiTheme="majorEastAsia" w:hAnsiTheme="majorEastAsia" w:eastAsiaTheme="majorEastAsia" w:cstheme="majorEastAsia"/>
                <w:b/>
                <w:bCs/>
                <w:color w:val="auto"/>
                <w:kern w:val="0"/>
                <w:sz w:val="18"/>
                <w:szCs w:val="18"/>
              </w:rPr>
              <w:t>年1季度佣金收取率（%）</w:t>
            </w:r>
          </w:p>
        </w:tc>
        <w:tc>
          <w:tcPr>
            <w:tcW w:w="1440" w:type="dxa"/>
            <w:tcBorders>
              <w:top w:val="single" w:color="000000" w:sz="12" w:space="0"/>
              <w:left w:val="single" w:color="000000" w:sz="4" w:space="0"/>
              <w:bottom w:val="single" w:color="000000" w:sz="4" w:space="0"/>
              <w:right w:val="single" w:color="000000" w:sz="12" w:space="0"/>
            </w:tcBorders>
            <w:noWrap w:val="0"/>
            <w:vAlign w:val="center"/>
          </w:tcPr>
          <w:p>
            <w:pPr>
              <w:widowControl/>
              <w:jc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bCs/>
                <w:color w:val="auto"/>
                <w:kern w:val="0"/>
                <w:sz w:val="18"/>
                <w:szCs w:val="18"/>
              </w:rPr>
              <w:t>201</w:t>
            </w:r>
            <w:r>
              <w:rPr>
                <w:rFonts w:hint="eastAsia" w:asciiTheme="majorEastAsia" w:hAnsiTheme="majorEastAsia" w:eastAsiaTheme="majorEastAsia" w:cstheme="majorEastAsia"/>
                <w:b/>
                <w:bCs/>
                <w:color w:val="auto"/>
                <w:kern w:val="0"/>
                <w:sz w:val="18"/>
                <w:szCs w:val="18"/>
                <w:lang w:val="en-US" w:eastAsia="zh-CN"/>
              </w:rPr>
              <w:t>9</w:t>
            </w:r>
            <w:r>
              <w:rPr>
                <w:rFonts w:hint="eastAsia" w:asciiTheme="majorEastAsia" w:hAnsiTheme="majorEastAsia" w:eastAsiaTheme="majorEastAsia" w:cstheme="majorEastAsia"/>
                <w:b/>
                <w:bCs/>
                <w:color w:val="auto"/>
                <w:kern w:val="0"/>
                <w:sz w:val="18"/>
                <w:szCs w:val="18"/>
              </w:rPr>
              <w:t>年1季度佣金收取率同比增长率（%）</w:t>
            </w:r>
          </w:p>
        </w:tc>
      </w:tr>
      <w:tr>
        <w:tblPrEx>
          <w:tblLayout w:type="fixed"/>
          <w:tblCellMar>
            <w:top w:w="15" w:type="dxa"/>
            <w:left w:w="108" w:type="dxa"/>
            <w:bottom w:w="15" w:type="dxa"/>
            <w:right w:w="108" w:type="dxa"/>
          </w:tblCellMar>
        </w:tblPrEx>
        <w:trPr>
          <w:trHeight w:val="420" w:hRule="exact"/>
          <w:jc w:val="center"/>
        </w:trPr>
        <w:tc>
          <w:tcPr>
            <w:tcW w:w="1275"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bCs/>
                <w:color w:val="auto"/>
                <w:kern w:val="0"/>
                <w:sz w:val="18"/>
                <w:szCs w:val="18"/>
              </w:rPr>
              <w:t>合   计</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i w:val="0"/>
                <w:color w:val="auto"/>
                <w:kern w:val="0"/>
                <w:sz w:val="18"/>
                <w:szCs w:val="18"/>
                <w:u w:val="none"/>
                <w:lang w:val="en-US" w:eastAsia="zh-CN" w:bidi="ar"/>
              </w:rPr>
              <w:t xml:space="preserve">110312.70 </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i w:val="0"/>
                <w:color w:val="auto"/>
                <w:kern w:val="0"/>
                <w:sz w:val="18"/>
                <w:szCs w:val="18"/>
                <w:u w:val="none"/>
                <w:lang w:val="en-US" w:eastAsia="zh-CN" w:bidi="ar"/>
              </w:rPr>
              <w:t xml:space="preserve">1556.01 </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i w:val="0"/>
                <w:color w:val="auto"/>
                <w:kern w:val="0"/>
                <w:sz w:val="18"/>
                <w:szCs w:val="18"/>
                <w:u w:val="none"/>
                <w:lang w:val="en-US" w:eastAsia="zh-CN" w:bidi="ar"/>
              </w:rPr>
              <w:t xml:space="preserve">1.41 </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i w:val="0"/>
                <w:color w:val="auto"/>
                <w:kern w:val="0"/>
                <w:sz w:val="18"/>
                <w:szCs w:val="18"/>
                <w:u w:val="none"/>
                <w:lang w:val="en-US" w:eastAsia="zh-CN" w:bidi="ar"/>
              </w:rPr>
              <w:t xml:space="preserve">269374.59 </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i w:val="0"/>
                <w:color w:val="auto"/>
                <w:kern w:val="0"/>
                <w:sz w:val="18"/>
                <w:szCs w:val="18"/>
                <w:u w:val="none"/>
                <w:lang w:val="en-US" w:eastAsia="zh-CN" w:bidi="ar"/>
              </w:rPr>
              <w:t xml:space="preserve">3382.61 </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i w:val="0"/>
                <w:color w:val="auto"/>
                <w:kern w:val="0"/>
                <w:sz w:val="18"/>
                <w:szCs w:val="18"/>
                <w:u w:val="none"/>
                <w:lang w:val="en-US" w:eastAsia="zh-CN" w:bidi="ar"/>
              </w:rPr>
              <w:t xml:space="preserve">1.26 </w:t>
            </w:r>
          </w:p>
        </w:tc>
        <w:tc>
          <w:tcPr>
            <w:tcW w:w="144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i w:val="0"/>
                <w:color w:val="auto"/>
                <w:kern w:val="0"/>
                <w:sz w:val="18"/>
                <w:szCs w:val="18"/>
                <w:u w:val="none"/>
                <w:lang w:val="en-US" w:eastAsia="zh-CN" w:bidi="ar"/>
              </w:rPr>
              <w:t xml:space="preserve">12.33 </w:t>
            </w:r>
          </w:p>
        </w:tc>
      </w:tr>
      <w:tr>
        <w:tblPrEx>
          <w:tblLayout w:type="fixed"/>
          <w:tblCellMar>
            <w:top w:w="15" w:type="dxa"/>
            <w:left w:w="108" w:type="dxa"/>
            <w:bottom w:w="15" w:type="dxa"/>
            <w:right w:w="108" w:type="dxa"/>
          </w:tblCellMar>
        </w:tblPrEx>
        <w:trPr>
          <w:trHeight w:val="420" w:hRule="exact"/>
          <w:jc w:val="center"/>
        </w:trPr>
        <w:tc>
          <w:tcPr>
            <w:tcW w:w="1275"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color w:val="auto"/>
                <w:kern w:val="0"/>
                <w:sz w:val="18"/>
                <w:szCs w:val="18"/>
              </w:rPr>
              <w:t>房地产</w:t>
            </w:r>
          </w:p>
        </w:tc>
        <w:tc>
          <w:tcPr>
            <w:tcW w:w="10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29354.03 </w:t>
            </w: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401.70 </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1.37 </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40115.73 </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306.98 </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0.77 </w:t>
            </w:r>
          </w:p>
        </w:tc>
        <w:tc>
          <w:tcPr>
            <w:tcW w:w="144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b/>
                <w:i w:val="0"/>
                <w:color w:val="auto"/>
                <w:kern w:val="0"/>
                <w:sz w:val="18"/>
                <w:szCs w:val="18"/>
                <w:u w:val="none"/>
                <w:lang w:val="en-US" w:eastAsia="zh-CN" w:bidi="ar"/>
              </w:rPr>
              <w:t xml:space="preserve">78.83 </w:t>
            </w:r>
          </w:p>
        </w:tc>
      </w:tr>
      <w:tr>
        <w:tblPrEx>
          <w:tblLayout w:type="fixed"/>
          <w:tblCellMar>
            <w:top w:w="15" w:type="dxa"/>
            <w:left w:w="108" w:type="dxa"/>
            <w:bottom w:w="15" w:type="dxa"/>
            <w:right w:w="108" w:type="dxa"/>
          </w:tblCellMar>
        </w:tblPrEx>
        <w:trPr>
          <w:trHeight w:val="420" w:hRule="exact"/>
          <w:jc w:val="center"/>
        </w:trPr>
        <w:tc>
          <w:tcPr>
            <w:tcW w:w="1275"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color w:val="auto"/>
                <w:kern w:val="0"/>
                <w:sz w:val="18"/>
                <w:szCs w:val="18"/>
              </w:rPr>
              <w:t>土地使用权</w:t>
            </w:r>
          </w:p>
        </w:tc>
        <w:tc>
          <w:tcPr>
            <w:tcW w:w="10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56113.56 </w:t>
            </w: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589.66 </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1.05 </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85960.65 </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1357.19 </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1.58 </w:t>
            </w:r>
          </w:p>
        </w:tc>
        <w:tc>
          <w:tcPr>
            <w:tcW w:w="144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b/>
                <w:i w:val="0"/>
                <w:color w:val="auto"/>
                <w:kern w:val="0"/>
                <w:sz w:val="18"/>
                <w:szCs w:val="18"/>
                <w:u w:val="none"/>
                <w:lang w:val="en-US" w:eastAsia="zh-CN" w:bidi="ar"/>
              </w:rPr>
              <w:t xml:space="preserve">-33.44 </w:t>
            </w:r>
          </w:p>
        </w:tc>
      </w:tr>
      <w:tr>
        <w:tblPrEx>
          <w:tblLayout w:type="fixed"/>
          <w:tblCellMar>
            <w:top w:w="15" w:type="dxa"/>
            <w:left w:w="108" w:type="dxa"/>
            <w:bottom w:w="15" w:type="dxa"/>
            <w:right w:w="108" w:type="dxa"/>
          </w:tblCellMar>
        </w:tblPrEx>
        <w:trPr>
          <w:trHeight w:val="420" w:hRule="exact"/>
          <w:jc w:val="center"/>
        </w:trPr>
        <w:tc>
          <w:tcPr>
            <w:tcW w:w="1275"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color w:val="auto"/>
                <w:kern w:val="0"/>
                <w:sz w:val="18"/>
                <w:szCs w:val="18"/>
              </w:rPr>
              <w:t>机动车</w:t>
            </w:r>
          </w:p>
        </w:tc>
        <w:tc>
          <w:tcPr>
            <w:tcW w:w="10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1744.94 </w:t>
            </w: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77.65 </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4.45 </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2506.96 </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36.90 </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1.47 </w:t>
            </w:r>
          </w:p>
        </w:tc>
        <w:tc>
          <w:tcPr>
            <w:tcW w:w="144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b/>
                <w:i w:val="0"/>
                <w:color w:val="auto"/>
                <w:kern w:val="0"/>
                <w:sz w:val="18"/>
                <w:szCs w:val="18"/>
                <w:u w:val="none"/>
                <w:lang w:val="en-US" w:eastAsia="zh-CN" w:bidi="ar"/>
              </w:rPr>
              <w:t xml:space="preserve">202.37 </w:t>
            </w:r>
          </w:p>
        </w:tc>
      </w:tr>
      <w:tr>
        <w:tblPrEx>
          <w:tblLayout w:type="fixed"/>
          <w:tblCellMar>
            <w:top w:w="15" w:type="dxa"/>
            <w:left w:w="108" w:type="dxa"/>
            <w:bottom w:w="15" w:type="dxa"/>
            <w:right w:w="108" w:type="dxa"/>
          </w:tblCellMar>
        </w:tblPrEx>
        <w:trPr>
          <w:trHeight w:val="420" w:hRule="exact"/>
          <w:jc w:val="center"/>
        </w:trPr>
        <w:tc>
          <w:tcPr>
            <w:tcW w:w="1275"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color w:val="auto"/>
                <w:kern w:val="0"/>
                <w:sz w:val="18"/>
                <w:szCs w:val="18"/>
              </w:rPr>
              <w:t>农副产品</w:t>
            </w:r>
          </w:p>
        </w:tc>
        <w:tc>
          <w:tcPr>
            <w:tcW w:w="10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1119.60 </w:t>
            </w: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19.78 </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1.77 </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3216.33 </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146.88 </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4.57 </w:t>
            </w:r>
          </w:p>
        </w:tc>
        <w:tc>
          <w:tcPr>
            <w:tcW w:w="144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b/>
                <w:i w:val="0"/>
                <w:color w:val="auto"/>
                <w:kern w:val="0"/>
                <w:sz w:val="18"/>
                <w:szCs w:val="18"/>
                <w:u w:val="none"/>
                <w:lang w:val="en-US" w:eastAsia="zh-CN" w:bidi="ar"/>
              </w:rPr>
              <w:t xml:space="preserve">-61.32 </w:t>
            </w:r>
          </w:p>
        </w:tc>
      </w:tr>
      <w:tr>
        <w:tblPrEx>
          <w:tblLayout w:type="fixed"/>
          <w:tblCellMar>
            <w:top w:w="15" w:type="dxa"/>
            <w:left w:w="108" w:type="dxa"/>
            <w:bottom w:w="15" w:type="dxa"/>
            <w:right w:w="108" w:type="dxa"/>
          </w:tblCellMar>
        </w:tblPrEx>
        <w:trPr>
          <w:jc w:val="center"/>
        </w:trPr>
        <w:tc>
          <w:tcPr>
            <w:tcW w:w="1275"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jc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color w:val="auto"/>
                <w:kern w:val="0"/>
                <w:sz w:val="18"/>
                <w:szCs w:val="18"/>
              </w:rPr>
              <w:t>股权、债权、产权</w:t>
            </w:r>
          </w:p>
        </w:tc>
        <w:tc>
          <w:tcPr>
            <w:tcW w:w="10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2955.37 </w:t>
            </w: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40.44 </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1.37 </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119136.39 </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1188.29 </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4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b/>
                <w:i w:val="0"/>
                <w:color w:val="auto"/>
                <w:kern w:val="0"/>
                <w:sz w:val="18"/>
                <w:szCs w:val="18"/>
                <w:u w:val="none"/>
                <w:lang w:val="en-US" w:eastAsia="zh-CN" w:bidi="ar"/>
              </w:rPr>
              <w:t xml:space="preserve">37.19 </w:t>
            </w:r>
          </w:p>
        </w:tc>
      </w:tr>
      <w:tr>
        <w:tblPrEx>
          <w:tblLayout w:type="fixed"/>
          <w:tblCellMar>
            <w:top w:w="15" w:type="dxa"/>
            <w:left w:w="108" w:type="dxa"/>
            <w:bottom w:w="15" w:type="dxa"/>
            <w:right w:w="108" w:type="dxa"/>
          </w:tblCellMar>
        </w:tblPrEx>
        <w:trPr>
          <w:trHeight w:val="420" w:hRule="exact"/>
          <w:jc w:val="center"/>
        </w:trPr>
        <w:tc>
          <w:tcPr>
            <w:tcW w:w="1275"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color w:val="auto"/>
                <w:kern w:val="0"/>
                <w:sz w:val="18"/>
                <w:szCs w:val="18"/>
              </w:rPr>
              <w:t>无形资产</w:t>
            </w:r>
          </w:p>
        </w:tc>
        <w:tc>
          <w:tcPr>
            <w:tcW w:w="10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232.20 </w:t>
            </w: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6.89 </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2.97 </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1460.25 </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16.40 </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1.12 </w:t>
            </w:r>
          </w:p>
        </w:tc>
        <w:tc>
          <w:tcPr>
            <w:tcW w:w="144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b/>
                <w:i w:val="0"/>
                <w:color w:val="auto"/>
                <w:kern w:val="0"/>
                <w:sz w:val="18"/>
                <w:szCs w:val="18"/>
                <w:u w:val="none"/>
                <w:lang w:val="en-US" w:eastAsia="zh-CN" w:bidi="ar"/>
              </w:rPr>
              <w:t xml:space="preserve">164.18 </w:t>
            </w:r>
          </w:p>
        </w:tc>
      </w:tr>
      <w:tr>
        <w:tblPrEx>
          <w:tblLayout w:type="fixed"/>
          <w:tblCellMar>
            <w:top w:w="15" w:type="dxa"/>
            <w:left w:w="108" w:type="dxa"/>
            <w:bottom w:w="15" w:type="dxa"/>
            <w:right w:w="108" w:type="dxa"/>
          </w:tblCellMar>
        </w:tblPrEx>
        <w:trPr>
          <w:trHeight w:val="420" w:hRule="exact"/>
          <w:jc w:val="center"/>
        </w:trPr>
        <w:tc>
          <w:tcPr>
            <w:tcW w:w="1275" w:type="dxa"/>
            <w:tcBorders>
              <w:top w:val="single" w:color="000000" w:sz="4" w:space="0"/>
              <w:left w:val="single" w:color="000000" w:sz="12" w:space="0"/>
              <w:bottom w:val="single" w:color="000000" w:sz="4" w:space="0"/>
              <w:right w:val="single" w:color="000000" w:sz="4" w:space="0"/>
            </w:tcBorders>
            <w:shd w:val="clear" w:color="auto" w:fill="auto"/>
            <w:noWrap w:val="0"/>
            <w:vAlign w:val="center"/>
          </w:tcPr>
          <w:p>
            <w:pPr>
              <w:widowControl/>
              <w:spacing w:line="360" w:lineRule="auto"/>
              <w:jc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color w:val="auto"/>
                <w:kern w:val="0"/>
                <w:sz w:val="18"/>
                <w:szCs w:val="18"/>
              </w:rPr>
              <w:t>文物艺术品</w:t>
            </w:r>
          </w:p>
        </w:tc>
        <w:tc>
          <w:tcPr>
            <w:tcW w:w="10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16.80 </w:t>
            </w: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10.10 </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ajorEastAsia" w:hAnsiTheme="majorEastAsia" w:eastAsiaTheme="majorEastAsia" w:cstheme="majorEastAsia"/>
                <w:color w:val="auto"/>
                <w:kern w:val="0"/>
                <w:sz w:val="18"/>
                <w:szCs w:val="18"/>
              </w:rPr>
            </w:pPr>
          </w:p>
        </w:tc>
        <w:tc>
          <w:tcPr>
            <w:tcW w:w="1440"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Theme="majorEastAsia" w:hAnsiTheme="majorEastAsia" w:eastAsiaTheme="majorEastAsia" w:cstheme="majorEastAsia"/>
                <w:color w:val="auto"/>
                <w:kern w:val="0"/>
                <w:sz w:val="18"/>
                <w:szCs w:val="18"/>
              </w:rPr>
            </w:pPr>
          </w:p>
        </w:tc>
      </w:tr>
      <w:tr>
        <w:tblPrEx>
          <w:tblLayout w:type="fixed"/>
          <w:tblCellMar>
            <w:top w:w="15" w:type="dxa"/>
            <w:left w:w="108" w:type="dxa"/>
            <w:bottom w:w="15" w:type="dxa"/>
            <w:right w:w="108" w:type="dxa"/>
          </w:tblCellMar>
        </w:tblPrEx>
        <w:trPr>
          <w:trHeight w:val="420" w:hRule="exact"/>
          <w:jc w:val="center"/>
        </w:trPr>
        <w:tc>
          <w:tcPr>
            <w:tcW w:w="1275" w:type="dxa"/>
            <w:tcBorders>
              <w:top w:val="single" w:color="000000" w:sz="4" w:space="0"/>
              <w:left w:val="single" w:color="000000" w:sz="12" w:space="0"/>
              <w:bottom w:val="single" w:color="000000" w:sz="12" w:space="0"/>
              <w:right w:val="single" w:color="000000" w:sz="4" w:space="0"/>
            </w:tcBorders>
            <w:shd w:val="clear" w:color="auto" w:fill="auto"/>
            <w:noWrap w:val="0"/>
            <w:vAlign w:val="center"/>
          </w:tcPr>
          <w:p>
            <w:pPr>
              <w:widowControl/>
              <w:spacing w:line="360" w:lineRule="auto"/>
              <w:jc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color w:val="auto"/>
                <w:kern w:val="0"/>
                <w:sz w:val="18"/>
                <w:szCs w:val="18"/>
              </w:rPr>
              <w:t>其他</w:t>
            </w:r>
          </w:p>
        </w:tc>
        <w:tc>
          <w:tcPr>
            <w:tcW w:w="1001" w:type="dxa"/>
            <w:tcBorders>
              <w:top w:val="single" w:color="000000" w:sz="4" w:space="0"/>
              <w:left w:val="single" w:color="000000" w:sz="4" w:space="0"/>
              <w:bottom w:val="single" w:color="000000" w:sz="12"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18776.20 </w:t>
            </w:r>
          </w:p>
        </w:tc>
        <w:tc>
          <w:tcPr>
            <w:tcW w:w="905" w:type="dxa"/>
            <w:tcBorders>
              <w:top w:val="single" w:color="000000" w:sz="4" w:space="0"/>
              <w:left w:val="single" w:color="000000" w:sz="4" w:space="0"/>
              <w:bottom w:val="single" w:color="000000" w:sz="12"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419.90 </w:t>
            </w:r>
          </w:p>
        </w:tc>
        <w:tc>
          <w:tcPr>
            <w:tcW w:w="103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2.24 </w:t>
            </w:r>
          </w:p>
        </w:tc>
        <w:tc>
          <w:tcPr>
            <w:tcW w:w="1095"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16968.18 </w:t>
            </w:r>
          </w:p>
        </w:tc>
        <w:tc>
          <w:tcPr>
            <w:tcW w:w="1093"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329.97 </w:t>
            </w:r>
          </w:p>
        </w:tc>
        <w:tc>
          <w:tcPr>
            <w:tcW w:w="1052"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1.94 </w:t>
            </w:r>
          </w:p>
        </w:tc>
        <w:tc>
          <w:tcPr>
            <w:tcW w:w="1440"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b/>
                <w:i w:val="0"/>
                <w:color w:val="auto"/>
                <w:kern w:val="0"/>
                <w:sz w:val="18"/>
                <w:szCs w:val="18"/>
                <w:u w:val="none"/>
                <w:lang w:val="en-US" w:eastAsia="zh-CN" w:bidi="ar"/>
              </w:rPr>
              <w:t xml:space="preserve">15.00 </w:t>
            </w:r>
          </w:p>
        </w:tc>
      </w:tr>
    </w:tbl>
    <w:p>
      <w:pPr>
        <w:spacing w:line="500" w:lineRule="exact"/>
        <w:ind w:left="640" w:hanging="560" w:hangingChars="200"/>
        <w:rPr>
          <w:rFonts w:hint="eastAsia" w:ascii="仿宋_GB2312" w:eastAsia="仿宋_GB2312"/>
          <w:color w:val="auto"/>
          <w:sz w:val="28"/>
          <w:szCs w:val="28"/>
        </w:rPr>
      </w:pPr>
      <w:r>
        <w:rPr>
          <w:rFonts w:hint="eastAsia" w:ascii="仿宋_GB2312" w:eastAsia="仿宋_GB2312"/>
          <w:color w:val="auto"/>
          <w:sz w:val="28"/>
          <w:szCs w:val="28"/>
        </w:rPr>
        <w:t>附件5：</w:t>
      </w:r>
    </w:p>
    <w:p>
      <w:pPr>
        <w:spacing w:line="500" w:lineRule="exact"/>
        <w:ind w:left="640" w:hanging="640" w:hangingChars="200"/>
        <w:jc w:val="center"/>
        <w:rPr>
          <w:rFonts w:hint="eastAsia" w:ascii="仿宋_GB2312" w:eastAsia="仿宋_GB2312"/>
          <w:color w:val="auto"/>
          <w:sz w:val="32"/>
          <w:szCs w:val="32"/>
        </w:rPr>
      </w:pPr>
      <w:r>
        <w:rPr>
          <w:rFonts w:hint="eastAsia" w:ascii="黑体" w:hAnsi="黑体" w:eastAsia="黑体"/>
          <w:color w:val="auto"/>
          <w:sz w:val="32"/>
          <w:szCs w:val="32"/>
        </w:rPr>
        <w:t>201</w:t>
      </w:r>
      <w:r>
        <w:rPr>
          <w:rFonts w:hint="eastAsia" w:ascii="黑体" w:hAnsi="黑体" w:eastAsia="黑体"/>
          <w:color w:val="auto"/>
          <w:sz w:val="32"/>
          <w:szCs w:val="32"/>
          <w:lang w:val="en-US" w:eastAsia="zh-CN"/>
        </w:rPr>
        <w:t>9</w:t>
      </w:r>
      <w:r>
        <w:rPr>
          <w:rFonts w:hint="eastAsia" w:ascii="黑体" w:hAnsi="黑体" w:eastAsia="黑体"/>
          <w:color w:val="auto"/>
          <w:sz w:val="32"/>
          <w:szCs w:val="32"/>
        </w:rPr>
        <w:t>年一季度全区拍卖佣金收取情况表</w:t>
      </w:r>
      <w:r>
        <w:rPr>
          <w:rFonts w:hint="eastAsia" w:ascii="仿宋_GB2312" w:eastAsia="仿宋_GB2312"/>
          <w:color w:val="auto"/>
          <w:sz w:val="32"/>
          <w:szCs w:val="32"/>
        </w:rPr>
        <w:t>（按委托部门统计）</w:t>
      </w:r>
    </w:p>
    <w:p>
      <w:pPr>
        <w:ind w:left="480" w:hanging="480" w:hangingChars="200"/>
        <w:jc w:val="right"/>
        <w:rPr>
          <w:rFonts w:hint="eastAsia" w:ascii="新宋体" w:hAnsi="新宋体" w:eastAsia="新宋体"/>
          <w:color w:val="auto"/>
          <w:sz w:val="24"/>
        </w:rPr>
      </w:pPr>
      <w:r>
        <w:rPr>
          <w:rFonts w:hint="eastAsia" w:ascii="新宋体" w:hAnsi="新宋体" w:eastAsia="新宋体"/>
          <w:color w:val="auto"/>
          <w:sz w:val="24"/>
        </w:rPr>
        <w:t>单位：万元</w:t>
      </w:r>
    </w:p>
    <w:tbl>
      <w:tblPr>
        <w:tblStyle w:val="6"/>
        <w:tblW w:w="8735" w:type="dxa"/>
        <w:jc w:val="center"/>
        <w:tblInd w:w="93" w:type="dxa"/>
        <w:tblLayout w:type="fixed"/>
        <w:tblCellMar>
          <w:top w:w="15" w:type="dxa"/>
          <w:left w:w="108" w:type="dxa"/>
          <w:bottom w:w="15" w:type="dxa"/>
          <w:right w:w="108" w:type="dxa"/>
        </w:tblCellMar>
      </w:tblPr>
      <w:tblGrid>
        <w:gridCol w:w="1309"/>
        <w:gridCol w:w="1081"/>
        <w:gridCol w:w="908"/>
        <w:gridCol w:w="1080"/>
        <w:gridCol w:w="1084"/>
        <w:gridCol w:w="933"/>
        <w:gridCol w:w="1080"/>
        <w:gridCol w:w="1260"/>
      </w:tblGrid>
      <w:tr>
        <w:tblPrEx>
          <w:tblLayout w:type="fixed"/>
          <w:tblCellMar>
            <w:top w:w="15" w:type="dxa"/>
            <w:left w:w="108" w:type="dxa"/>
            <w:bottom w:w="15" w:type="dxa"/>
            <w:right w:w="108" w:type="dxa"/>
          </w:tblCellMar>
        </w:tblPrEx>
        <w:trPr>
          <w:trHeight w:val="20" w:hRule="atLeast"/>
          <w:jc w:val="center"/>
        </w:trPr>
        <w:tc>
          <w:tcPr>
            <w:tcW w:w="1309" w:type="dxa"/>
            <w:tcBorders>
              <w:top w:val="single" w:color="000000" w:sz="12" w:space="0"/>
              <w:left w:val="single" w:color="000000" w:sz="12" w:space="0"/>
              <w:bottom w:val="single" w:color="000000" w:sz="4" w:space="0"/>
              <w:right w:val="single" w:color="000000" w:sz="4" w:space="0"/>
            </w:tcBorders>
            <w:shd w:val="clear" w:color="auto" w:fill="auto"/>
            <w:noWrap w:val="0"/>
            <w:vAlign w:val="center"/>
          </w:tcPr>
          <w:p>
            <w:pPr>
              <w:widowControl/>
              <w:jc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bCs/>
                <w:color w:val="auto"/>
                <w:kern w:val="0"/>
                <w:sz w:val="18"/>
                <w:szCs w:val="18"/>
              </w:rPr>
              <w:t>部    门</w:t>
            </w:r>
          </w:p>
        </w:tc>
        <w:tc>
          <w:tcPr>
            <w:tcW w:w="1081" w:type="dxa"/>
            <w:tcBorders>
              <w:top w:val="single" w:color="000000" w:sz="12"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bCs/>
                <w:color w:val="auto"/>
                <w:kern w:val="0"/>
                <w:sz w:val="18"/>
                <w:szCs w:val="18"/>
              </w:rPr>
              <w:t>201</w:t>
            </w:r>
            <w:r>
              <w:rPr>
                <w:rFonts w:hint="eastAsia" w:asciiTheme="majorEastAsia" w:hAnsiTheme="majorEastAsia" w:eastAsiaTheme="majorEastAsia" w:cstheme="majorEastAsia"/>
                <w:b/>
                <w:bCs/>
                <w:color w:val="auto"/>
                <w:kern w:val="0"/>
                <w:sz w:val="18"/>
                <w:szCs w:val="18"/>
                <w:lang w:val="en-US" w:eastAsia="zh-CN"/>
              </w:rPr>
              <w:t>9</w:t>
            </w:r>
            <w:r>
              <w:rPr>
                <w:rFonts w:hint="eastAsia" w:asciiTheme="majorEastAsia" w:hAnsiTheme="majorEastAsia" w:eastAsiaTheme="majorEastAsia" w:cstheme="majorEastAsia"/>
                <w:b/>
                <w:bCs/>
                <w:color w:val="auto"/>
                <w:kern w:val="0"/>
                <w:sz w:val="18"/>
                <w:szCs w:val="18"/>
              </w:rPr>
              <w:t>年1季度成交额</w:t>
            </w:r>
          </w:p>
        </w:tc>
        <w:tc>
          <w:tcPr>
            <w:tcW w:w="908" w:type="dxa"/>
            <w:tcBorders>
              <w:top w:val="single" w:color="000000" w:sz="12"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bCs/>
                <w:color w:val="auto"/>
                <w:kern w:val="0"/>
                <w:sz w:val="18"/>
                <w:szCs w:val="18"/>
              </w:rPr>
              <w:t>201</w:t>
            </w:r>
            <w:r>
              <w:rPr>
                <w:rFonts w:hint="eastAsia" w:asciiTheme="majorEastAsia" w:hAnsiTheme="majorEastAsia" w:eastAsiaTheme="majorEastAsia" w:cstheme="majorEastAsia"/>
                <w:b/>
                <w:bCs/>
                <w:color w:val="auto"/>
                <w:kern w:val="0"/>
                <w:sz w:val="18"/>
                <w:szCs w:val="18"/>
                <w:lang w:val="en-US" w:eastAsia="zh-CN"/>
              </w:rPr>
              <w:t>9</w:t>
            </w:r>
            <w:r>
              <w:rPr>
                <w:rFonts w:hint="eastAsia" w:asciiTheme="majorEastAsia" w:hAnsiTheme="majorEastAsia" w:eastAsiaTheme="majorEastAsia" w:cstheme="majorEastAsia"/>
                <w:b/>
                <w:bCs/>
                <w:color w:val="auto"/>
                <w:kern w:val="0"/>
                <w:sz w:val="18"/>
                <w:szCs w:val="18"/>
              </w:rPr>
              <w:t>年1季度佣金额</w:t>
            </w:r>
          </w:p>
        </w:tc>
        <w:tc>
          <w:tcPr>
            <w:tcW w:w="1080" w:type="dxa"/>
            <w:tcBorders>
              <w:top w:val="single" w:color="000000" w:sz="12"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bCs/>
                <w:color w:val="auto"/>
                <w:kern w:val="0"/>
                <w:sz w:val="18"/>
                <w:szCs w:val="18"/>
              </w:rPr>
              <w:t>201</w:t>
            </w:r>
            <w:r>
              <w:rPr>
                <w:rFonts w:hint="eastAsia" w:asciiTheme="majorEastAsia" w:hAnsiTheme="majorEastAsia" w:eastAsiaTheme="majorEastAsia" w:cstheme="majorEastAsia"/>
                <w:b/>
                <w:bCs/>
                <w:color w:val="auto"/>
                <w:kern w:val="0"/>
                <w:sz w:val="18"/>
                <w:szCs w:val="18"/>
                <w:lang w:val="en-US" w:eastAsia="zh-CN"/>
              </w:rPr>
              <w:t>9</w:t>
            </w:r>
            <w:r>
              <w:rPr>
                <w:rFonts w:hint="eastAsia" w:asciiTheme="majorEastAsia" w:hAnsiTheme="majorEastAsia" w:eastAsiaTheme="majorEastAsia" w:cstheme="majorEastAsia"/>
                <w:b/>
                <w:bCs/>
                <w:color w:val="auto"/>
                <w:kern w:val="0"/>
                <w:sz w:val="18"/>
                <w:szCs w:val="18"/>
              </w:rPr>
              <w:t>年1季度佣金收取率（%）</w:t>
            </w:r>
          </w:p>
        </w:tc>
        <w:tc>
          <w:tcPr>
            <w:tcW w:w="1084" w:type="dxa"/>
            <w:tcBorders>
              <w:top w:val="single" w:color="000000" w:sz="12"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bCs/>
                <w:color w:val="auto"/>
                <w:kern w:val="0"/>
                <w:sz w:val="18"/>
                <w:szCs w:val="18"/>
              </w:rPr>
              <w:t>201</w:t>
            </w:r>
            <w:r>
              <w:rPr>
                <w:rFonts w:hint="eastAsia" w:asciiTheme="majorEastAsia" w:hAnsiTheme="majorEastAsia" w:eastAsiaTheme="majorEastAsia" w:cstheme="majorEastAsia"/>
                <w:b/>
                <w:bCs/>
                <w:color w:val="auto"/>
                <w:kern w:val="0"/>
                <w:sz w:val="18"/>
                <w:szCs w:val="18"/>
                <w:lang w:val="en-US" w:eastAsia="zh-CN"/>
              </w:rPr>
              <w:t>8</w:t>
            </w:r>
            <w:r>
              <w:rPr>
                <w:rFonts w:hint="eastAsia" w:asciiTheme="majorEastAsia" w:hAnsiTheme="majorEastAsia" w:eastAsiaTheme="majorEastAsia" w:cstheme="majorEastAsia"/>
                <w:b/>
                <w:bCs/>
                <w:color w:val="auto"/>
                <w:kern w:val="0"/>
                <w:sz w:val="18"/>
                <w:szCs w:val="18"/>
              </w:rPr>
              <w:t>年1季度成交额</w:t>
            </w:r>
          </w:p>
        </w:tc>
        <w:tc>
          <w:tcPr>
            <w:tcW w:w="933" w:type="dxa"/>
            <w:tcBorders>
              <w:top w:val="single" w:color="000000" w:sz="12"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bCs/>
                <w:color w:val="auto"/>
                <w:kern w:val="0"/>
                <w:sz w:val="18"/>
                <w:szCs w:val="18"/>
              </w:rPr>
              <w:t>201</w:t>
            </w:r>
            <w:r>
              <w:rPr>
                <w:rFonts w:hint="eastAsia" w:asciiTheme="majorEastAsia" w:hAnsiTheme="majorEastAsia" w:eastAsiaTheme="majorEastAsia" w:cstheme="majorEastAsia"/>
                <w:b/>
                <w:bCs/>
                <w:color w:val="auto"/>
                <w:kern w:val="0"/>
                <w:sz w:val="18"/>
                <w:szCs w:val="18"/>
                <w:lang w:val="en-US" w:eastAsia="zh-CN"/>
              </w:rPr>
              <w:t>8</w:t>
            </w:r>
            <w:r>
              <w:rPr>
                <w:rFonts w:hint="eastAsia" w:asciiTheme="majorEastAsia" w:hAnsiTheme="majorEastAsia" w:eastAsiaTheme="majorEastAsia" w:cstheme="majorEastAsia"/>
                <w:b/>
                <w:bCs/>
                <w:color w:val="auto"/>
                <w:kern w:val="0"/>
                <w:sz w:val="18"/>
                <w:szCs w:val="18"/>
              </w:rPr>
              <w:t>年1季度佣金额</w:t>
            </w:r>
          </w:p>
        </w:tc>
        <w:tc>
          <w:tcPr>
            <w:tcW w:w="1080" w:type="dxa"/>
            <w:tcBorders>
              <w:top w:val="single" w:color="000000" w:sz="12"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bCs/>
                <w:color w:val="auto"/>
                <w:kern w:val="0"/>
                <w:sz w:val="18"/>
                <w:szCs w:val="18"/>
              </w:rPr>
              <w:t>201</w:t>
            </w:r>
            <w:r>
              <w:rPr>
                <w:rFonts w:hint="eastAsia" w:asciiTheme="majorEastAsia" w:hAnsiTheme="majorEastAsia" w:eastAsiaTheme="majorEastAsia" w:cstheme="majorEastAsia"/>
                <w:b/>
                <w:bCs/>
                <w:color w:val="auto"/>
                <w:kern w:val="0"/>
                <w:sz w:val="18"/>
                <w:szCs w:val="18"/>
                <w:lang w:val="en-US" w:eastAsia="zh-CN"/>
              </w:rPr>
              <w:t>8</w:t>
            </w:r>
            <w:r>
              <w:rPr>
                <w:rFonts w:hint="eastAsia" w:asciiTheme="majorEastAsia" w:hAnsiTheme="majorEastAsia" w:eastAsiaTheme="majorEastAsia" w:cstheme="majorEastAsia"/>
                <w:b/>
                <w:bCs/>
                <w:color w:val="auto"/>
                <w:kern w:val="0"/>
                <w:sz w:val="18"/>
                <w:szCs w:val="18"/>
              </w:rPr>
              <w:t>年1季度佣金收取率（%）</w:t>
            </w:r>
          </w:p>
        </w:tc>
        <w:tc>
          <w:tcPr>
            <w:tcW w:w="1260" w:type="dxa"/>
            <w:tcBorders>
              <w:top w:val="single" w:color="000000" w:sz="12" w:space="0"/>
              <w:left w:val="single" w:color="000000" w:sz="4" w:space="0"/>
              <w:bottom w:val="single" w:color="000000" w:sz="4" w:space="0"/>
              <w:right w:val="single" w:color="000000" w:sz="12" w:space="0"/>
            </w:tcBorders>
            <w:noWrap w:val="0"/>
            <w:vAlign w:val="center"/>
          </w:tcPr>
          <w:p>
            <w:pPr>
              <w:widowControl/>
              <w:jc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bCs/>
                <w:color w:val="auto"/>
                <w:kern w:val="0"/>
                <w:sz w:val="18"/>
                <w:szCs w:val="18"/>
              </w:rPr>
              <w:t>201</w:t>
            </w:r>
            <w:r>
              <w:rPr>
                <w:rFonts w:hint="eastAsia" w:asciiTheme="majorEastAsia" w:hAnsiTheme="majorEastAsia" w:eastAsiaTheme="majorEastAsia" w:cstheme="majorEastAsia"/>
                <w:b/>
                <w:bCs/>
                <w:color w:val="auto"/>
                <w:kern w:val="0"/>
                <w:sz w:val="18"/>
                <w:szCs w:val="18"/>
                <w:lang w:val="en-US" w:eastAsia="zh-CN"/>
              </w:rPr>
              <w:t>9</w:t>
            </w:r>
            <w:r>
              <w:rPr>
                <w:rFonts w:hint="eastAsia" w:asciiTheme="majorEastAsia" w:hAnsiTheme="majorEastAsia" w:eastAsiaTheme="majorEastAsia" w:cstheme="majorEastAsia"/>
                <w:b/>
                <w:bCs/>
                <w:color w:val="auto"/>
                <w:kern w:val="0"/>
                <w:sz w:val="18"/>
                <w:szCs w:val="18"/>
              </w:rPr>
              <w:t>年1季度佣金收取率同比增长率（%）</w:t>
            </w:r>
          </w:p>
        </w:tc>
      </w:tr>
      <w:tr>
        <w:tblPrEx>
          <w:tblLayout w:type="fixed"/>
          <w:tblCellMar>
            <w:top w:w="15" w:type="dxa"/>
            <w:left w:w="108" w:type="dxa"/>
            <w:bottom w:w="15" w:type="dxa"/>
            <w:right w:w="108" w:type="dxa"/>
          </w:tblCellMar>
        </w:tblPrEx>
        <w:trPr>
          <w:trHeight w:val="420" w:hRule="exact"/>
          <w:jc w:val="center"/>
        </w:trPr>
        <w:tc>
          <w:tcPr>
            <w:tcW w:w="1309"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bCs/>
                <w:color w:val="auto"/>
                <w:kern w:val="0"/>
                <w:sz w:val="18"/>
                <w:szCs w:val="18"/>
              </w:rPr>
              <w:t xml:space="preserve"> 合   计</w:t>
            </w: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110312.70 </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1556.01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i w:val="0"/>
                <w:color w:val="auto"/>
                <w:kern w:val="0"/>
                <w:sz w:val="18"/>
                <w:szCs w:val="18"/>
                <w:u w:val="none"/>
                <w:lang w:val="en-US" w:eastAsia="zh-CN" w:bidi="ar"/>
              </w:rPr>
              <w:t xml:space="preserve">1.41 </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i w:val="0"/>
                <w:color w:val="auto"/>
                <w:kern w:val="0"/>
                <w:sz w:val="18"/>
                <w:szCs w:val="18"/>
                <w:u w:val="none"/>
                <w:lang w:val="en-US" w:eastAsia="zh-CN" w:bidi="ar"/>
              </w:rPr>
              <w:t xml:space="preserve">269374.59 </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i w:val="0"/>
                <w:color w:val="auto"/>
                <w:kern w:val="0"/>
                <w:sz w:val="18"/>
                <w:szCs w:val="18"/>
                <w:u w:val="none"/>
                <w:lang w:val="en-US" w:eastAsia="zh-CN" w:bidi="ar"/>
              </w:rPr>
              <w:t xml:space="preserve">3382.61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i w:val="0"/>
                <w:color w:val="auto"/>
                <w:kern w:val="0"/>
                <w:sz w:val="18"/>
                <w:szCs w:val="18"/>
                <w:u w:val="none"/>
                <w:lang w:val="en-US" w:eastAsia="zh-CN" w:bidi="ar"/>
              </w:rPr>
              <w:t xml:space="preserve">1.26 </w:t>
            </w:r>
          </w:p>
        </w:tc>
        <w:tc>
          <w:tcPr>
            <w:tcW w:w="126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color w:val="auto"/>
                <w:kern w:val="0"/>
                <w:sz w:val="18"/>
                <w:szCs w:val="18"/>
              </w:rPr>
            </w:pPr>
            <w:r>
              <w:rPr>
                <w:rFonts w:hint="eastAsia" w:asciiTheme="majorEastAsia" w:hAnsiTheme="majorEastAsia" w:eastAsiaTheme="majorEastAsia" w:cstheme="majorEastAsia"/>
                <w:b/>
                <w:i w:val="0"/>
                <w:color w:val="auto"/>
                <w:kern w:val="0"/>
                <w:sz w:val="18"/>
                <w:szCs w:val="18"/>
                <w:u w:val="none"/>
                <w:lang w:val="en-US" w:eastAsia="zh-CN" w:bidi="ar"/>
              </w:rPr>
              <w:t xml:space="preserve">12.33 </w:t>
            </w:r>
          </w:p>
        </w:tc>
      </w:tr>
      <w:tr>
        <w:tblPrEx>
          <w:tblLayout w:type="fixed"/>
          <w:tblCellMar>
            <w:top w:w="15" w:type="dxa"/>
            <w:left w:w="108" w:type="dxa"/>
            <w:bottom w:w="15" w:type="dxa"/>
            <w:right w:w="108" w:type="dxa"/>
          </w:tblCellMar>
        </w:tblPrEx>
        <w:trPr>
          <w:trHeight w:val="420" w:hRule="exact"/>
          <w:jc w:val="center"/>
        </w:trPr>
        <w:tc>
          <w:tcPr>
            <w:tcW w:w="1309"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color w:val="auto"/>
                <w:kern w:val="0"/>
                <w:sz w:val="18"/>
                <w:szCs w:val="18"/>
              </w:rPr>
              <w:t>法院</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14266.12 </w:t>
            </w:r>
          </w:p>
        </w:tc>
        <w:tc>
          <w:tcPr>
            <w:tcW w:w="9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60.69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0.43 </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8211.02 </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105.97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1.29 </w:t>
            </w:r>
          </w:p>
        </w:tc>
        <w:tc>
          <w:tcPr>
            <w:tcW w:w="126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-67.04 </w:t>
            </w:r>
          </w:p>
        </w:tc>
      </w:tr>
      <w:tr>
        <w:tblPrEx>
          <w:tblLayout w:type="fixed"/>
          <w:tblCellMar>
            <w:top w:w="15" w:type="dxa"/>
            <w:left w:w="108" w:type="dxa"/>
            <w:bottom w:w="15" w:type="dxa"/>
            <w:right w:w="108" w:type="dxa"/>
          </w:tblCellMar>
        </w:tblPrEx>
        <w:trPr>
          <w:trHeight w:val="420" w:hRule="exact"/>
          <w:jc w:val="center"/>
        </w:trPr>
        <w:tc>
          <w:tcPr>
            <w:tcW w:w="1309"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color w:val="auto"/>
                <w:kern w:val="0"/>
                <w:sz w:val="18"/>
                <w:szCs w:val="18"/>
              </w:rPr>
              <w:t>政府部门</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80848.59 </w:t>
            </w:r>
          </w:p>
        </w:tc>
        <w:tc>
          <w:tcPr>
            <w:tcW w:w="9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1137.65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1.41 </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63797.44 </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777.46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1.22 </w:t>
            </w:r>
          </w:p>
        </w:tc>
        <w:tc>
          <w:tcPr>
            <w:tcW w:w="126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15.47 </w:t>
            </w:r>
          </w:p>
        </w:tc>
      </w:tr>
      <w:tr>
        <w:tblPrEx>
          <w:tblLayout w:type="fixed"/>
          <w:tblCellMar>
            <w:top w:w="15" w:type="dxa"/>
            <w:left w:w="108" w:type="dxa"/>
            <w:bottom w:w="15" w:type="dxa"/>
            <w:right w:w="108" w:type="dxa"/>
          </w:tblCellMar>
        </w:tblPrEx>
        <w:trPr>
          <w:trHeight w:val="420" w:hRule="exact"/>
          <w:jc w:val="center"/>
        </w:trPr>
        <w:tc>
          <w:tcPr>
            <w:tcW w:w="1309"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color w:val="auto"/>
                <w:kern w:val="0"/>
                <w:sz w:val="18"/>
                <w:szCs w:val="18"/>
              </w:rPr>
              <w:t>金融资产机构</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4134.88 </w:t>
            </w:r>
          </w:p>
        </w:tc>
        <w:tc>
          <w:tcPr>
            <w:tcW w:w="9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48.52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1.17 </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146164.04 </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1980.24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1.35 </w:t>
            </w:r>
          </w:p>
        </w:tc>
        <w:tc>
          <w:tcPr>
            <w:tcW w:w="126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-13.39 </w:t>
            </w:r>
          </w:p>
        </w:tc>
      </w:tr>
      <w:tr>
        <w:tblPrEx>
          <w:tblLayout w:type="fixed"/>
          <w:tblCellMar>
            <w:top w:w="15" w:type="dxa"/>
            <w:left w:w="108" w:type="dxa"/>
            <w:bottom w:w="15" w:type="dxa"/>
            <w:right w:w="108" w:type="dxa"/>
          </w:tblCellMar>
        </w:tblPrEx>
        <w:trPr>
          <w:trHeight w:val="420" w:hRule="exact"/>
          <w:jc w:val="center"/>
        </w:trPr>
        <w:tc>
          <w:tcPr>
            <w:tcW w:w="1309"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color w:val="auto"/>
                <w:kern w:val="0"/>
                <w:sz w:val="18"/>
                <w:szCs w:val="18"/>
              </w:rPr>
              <w:t>破产清算组</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87.70 </w:t>
            </w:r>
          </w:p>
        </w:tc>
        <w:tc>
          <w:tcPr>
            <w:tcW w:w="9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26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r>
      <w:tr>
        <w:tblPrEx>
          <w:tblLayout w:type="fixed"/>
          <w:tblCellMar>
            <w:top w:w="15" w:type="dxa"/>
            <w:left w:w="108" w:type="dxa"/>
            <w:bottom w:w="15" w:type="dxa"/>
            <w:right w:w="108" w:type="dxa"/>
          </w:tblCellMar>
        </w:tblPrEx>
        <w:trPr>
          <w:trHeight w:val="420" w:hRule="exact"/>
          <w:jc w:val="center"/>
        </w:trPr>
        <w:tc>
          <w:tcPr>
            <w:tcW w:w="1309"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color w:val="auto"/>
                <w:kern w:val="0"/>
                <w:sz w:val="18"/>
                <w:szCs w:val="18"/>
              </w:rPr>
              <w:t>其他机构</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9184.43 </w:t>
            </w:r>
          </w:p>
        </w:tc>
        <w:tc>
          <w:tcPr>
            <w:tcW w:w="9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302.32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3.29 </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50266.46 </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501.94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26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229.64 </w:t>
            </w:r>
          </w:p>
        </w:tc>
      </w:tr>
      <w:tr>
        <w:tblPrEx>
          <w:tblLayout w:type="fixed"/>
          <w:tblCellMar>
            <w:top w:w="15" w:type="dxa"/>
            <w:left w:w="108" w:type="dxa"/>
            <w:bottom w:w="15" w:type="dxa"/>
            <w:right w:w="108" w:type="dxa"/>
          </w:tblCellMar>
        </w:tblPrEx>
        <w:trPr>
          <w:trHeight w:val="420" w:hRule="exact"/>
          <w:jc w:val="center"/>
        </w:trPr>
        <w:tc>
          <w:tcPr>
            <w:tcW w:w="1309" w:type="dxa"/>
            <w:tcBorders>
              <w:top w:val="single" w:color="000000" w:sz="4" w:space="0"/>
              <w:left w:val="single" w:color="000000" w:sz="12" w:space="0"/>
              <w:bottom w:val="single" w:color="000000" w:sz="12" w:space="0"/>
              <w:right w:val="single" w:color="000000" w:sz="4" w:space="0"/>
            </w:tcBorders>
            <w:shd w:val="clear" w:color="auto" w:fill="FFFFFF"/>
            <w:noWrap w:val="0"/>
            <w:vAlign w:val="center"/>
          </w:tcPr>
          <w:p>
            <w:pPr>
              <w:widowControl/>
              <w:spacing w:line="360" w:lineRule="auto"/>
              <w:jc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color w:val="auto"/>
                <w:kern w:val="0"/>
                <w:sz w:val="18"/>
                <w:szCs w:val="18"/>
              </w:rPr>
              <w:t>个人</w:t>
            </w:r>
          </w:p>
        </w:tc>
        <w:tc>
          <w:tcPr>
            <w:tcW w:w="1081" w:type="dxa"/>
            <w:tcBorders>
              <w:top w:val="single" w:color="000000" w:sz="4" w:space="0"/>
              <w:left w:val="single" w:color="000000" w:sz="4" w:space="0"/>
              <w:bottom w:val="single" w:color="000000" w:sz="12"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1790.98 </w:t>
            </w:r>
          </w:p>
        </w:tc>
        <w:tc>
          <w:tcPr>
            <w:tcW w:w="908" w:type="dxa"/>
            <w:tcBorders>
              <w:top w:val="single" w:color="000000" w:sz="4" w:space="0"/>
              <w:left w:val="single" w:color="000000" w:sz="4" w:space="0"/>
              <w:bottom w:val="single" w:color="000000" w:sz="12"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6.83 </w:t>
            </w:r>
          </w:p>
        </w:tc>
        <w:tc>
          <w:tcPr>
            <w:tcW w:w="1080"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0.38 </w:t>
            </w:r>
          </w:p>
        </w:tc>
        <w:tc>
          <w:tcPr>
            <w:tcW w:w="108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935.63 </w:t>
            </w:r>
          </w:p>
        </w:tc>
        <w:tc>
          <w:tcPr>
            <w:tcW w:w="933"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17.00 </w:t>
            </w:r>
          </w:p>
        </w:tc>
        <w:tc>
          <w:tcPr>
            <w:tcW w:w="1080"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1.82 </w:t>
            </w:r>
          </w:p>
        </w:tc>
        <w:tc>
          <w:tcPr>
            <w:tcW w:w="1260"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i w:val="0"/>
                <w:color w:val="auto"/>
                <w:kern w:val="0"/>
                <w:sz w:val="18"/>
                <w:szCs w:val="18"/>
                <w:u w:val="none"/>
                <w:lang w:val="en-US" w:eastAsia="zh-CN" w:bidi="ar"/>
              </w:rPr>
              <w:t xml:space="preserve">-79.01 </w:t>
            </w:r>
          </w:p>
        </w:tc>
      </w:tr>
    </w:tbl>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广西拍卖行业协会关于常务理事单位、理事单位</w:t>
      </w:r>
    </w:p>
    <w:p>
      <w:pPr>
        <w:jc w:val="center"/>
        <w:rPr>
          <w:rFonts w:hint="eastAsia" w:ascii="仿宋_GB2312" w:hAnsi="仿宋_GB2312" w:eastAsia="仿宋_GB2312" w:cs="仿宋_GB2312"/>
          <w:sz w:val="32"/>
          <w:szCs w:val="32"/>
          <w:lang w:val="en-US" w:eastAsia="zh-CN"/>
        </w:rPr>
      </w:pPr>
      <w:r>
        <w:rPr>
          <w:rFonts w:hint="eastAsia" w:ascii="黑体" w:hAnsi="黑体" w:eastAsia="黑体" w:cs="黑体"/>
          <w:sz w:val="36"/>
          <w:szCs w:val="36"/>
          <w:lang w:val="en-US" w:eastAsia="zh-CN"/>
        </w:rPr>
        <w:t>调整为会员单位的通知</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各会员单位：</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仿宋_GB2312" w:eastAsia="仿宋_GB2312"/>
          <w:sz w:val="28"/>
          <w:szCs w:val="28"/>
          <w:lang w:val="en-US" w:eastAsia="zh-CN"/>
        </w:rPr>
      </w:pPr>
      <w:r>
        <w:rPr>
          <w:rFonts w:hint="eastAsia" w:ascii="仿宋_GB2312" w:eastAsia="仿宋_GB2312"/>
          <w:sz w:val="28"/>
          <w:szCs w:val="28"/>
        </w:rPr>
        <w:t>由于</w:t>
      </w:r>
      <w:r>
        <w:rPr>
          <w:rFonts w:hint="eastAsia" w:ascii="仿宋_GB2312" w:eastAsia="仿宋_GB2312"/>
          <w:sz w:val="28"/>
          <w:szCs w:val="28"/>
          <w:lang w:eastAsia="zh-CN"/>
        </w:rPr>
        <w:t>企业</w:t>
      </w:r>
      <w:r>
        <w:rPr>
          <w:rFonts w:hint="eastAsia" w:ascii="仿宋_GB2312" w:eastAsia="仿宋_GB2312"/>
          <w:sz w:val="28"/>
          <w:szCs w:val="28"/>
        </w:rPr>
        <w:t>经营困难，</w:t>
      </w:r>
      <w:r>
        <w:rPr>
          <w:rFonts w:hint="eastAsia" w:ascii="仿宋_GB2312" w:eastAsia="仿宋_GB2312"/>
          <w:sz w:val="28"/>
          <w:szCs w:val="28"/>
          <w:lang w:eastAsia="zh-CN"/>
        </w:rPr>
        <w:t>广西臻利</w:t>
      </w:r>
      <w:r>
        <w:rPr>
          <w:rFonts w:hint="eastAsia" w:ascii="仿宋_GB2312" w:eastAsia="仿宋_GB2312"/>
          <w:sz w:val="28"/>
          <w:szCs w:val="28"/>
        </w:rPr>
        <w:t>拍卖有限公司请求从2018年起将本企业由</w:t>
      </w:r>
      <w:r>
        <w:rPr>
          <w:rFonts w:hint="eastAsia" w:ascii="仿宋_GB2312" w:eastAsia="仿宋_GB2312"/>
          <w:sz w:val="28"/>
          <w:szCs w:val="28"/>
          <w:lang w:eastAsia="zh-CN"/>
        </w:rPr>
        <w:t>常务</w:t>
      </w:r>
      <w:r>
        <w:rPr>
          <w:rFonts w:hint="eastAsia" w:ascii="仿宋_GB2312" w:eastAsia="仿宋_GB2312"/>
          <w:sz w:val="28"/>
          <w:szCs w:val="28"/>
        </w:rPr>
        <w:t>理事单位调整为会员单位</w:t>
      </w:r>
      <w:r>
        <w:rPr>
          <w:rFonts w:hint="eastAsia" w:ascii="仿宋_GB2312" w:eastAsia="仿宋_GB2312"/>
          <w:sz w:val="28"/>
          <w:szCs w:val="28"/>
          <w:lang w:eastAsia="zh-CN"/>
        </w:rPr>
        <w:t>、</w:t>
      </w:r>
      <w:r>
        <w:rPr>
          <w:rFonts w:hint="eastAsia" w:ascii="仿宋_GB2312" w:eastAsia="仿宋_GB2312"/>
          <w:sz w:val="28"/>
          <w:szCs w:val="28"/>
        </w:rPr>
        <w:t>防城港恒利拍卖有限责任公司请求由理事单位调整为会员单位。</w:t>
      </w:r>
      <w:r>
        <w:rPr>
          <w:rFonts w:hint="eastAsia" w:ascii="仿宋_GB2312" w:eastAsia="仿宋_GB2312"/>
          <w:sz w:val="28"/>
          <w:szCs w:val="28"/>
          <w:lang w:eastAsia="zh-CN"/>
        </w:rPr>
        <w:t>经</w:t>
      </w:r>
      <w:r>
        <w:rPr>
          <w:rFonts w:hint="eastAsia" w:ascii="仿宋_GB2312" w:eastAsia="仿宋_GB2312"/>
          <w:sz w:val="28"/>
          <w:szCs w:val="28"/>
          <w:lang w:val="en-US" w:eastAsia="zh-CN"/>
        </w:rPr>
        <w:t>2019年4月24日协会四届五次理事会暨四届五次常务理事会审议通过，同意将广西臻利拍卖有限公司由常务理事单位调整为会员单位；防城港恒利拍卖有限责任公司由理事单位调整为会员单位。</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特此通知。</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广西拍卖行业协会</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二0一九年五月七日</w:t>
      </w:r>
    </w:p>
    <w:p>
      <w:pPr>
        <w:rPr>
          <w:rFonts w:hint="eastAsia" w:ascii="仿宋_GB2312" w:hAnsi="宋体" w:eastAsia="仿宋_GB2312" w:cs="宋体"/>
          <w:sz w:val="28"/>
          <w:szCs w:val="28"/>
          <w:lang w:val="en-US" w:eastAsia="zh-CN"/>
        </w:rPr>
      </w:pPr>
    </w:p>
    <w:p>
      <w:pPr>
        <w:jc w:val="center"/>
        <w:rPr>
          <w:rFonts w:hint="eastAsia" w:ascii="仿宋_GB2312" w:hAnsi="仿宋_GB2312" w:eastAsia="仿宋_GB2312" w:cs="仿宋_GB2312"/>
          <w:sz w:val="32"/>
          <w:szCs w:val="32"/>
          <w:lang w:val="en-US" w:eastAsia="zh-CN"/>
        </w:rPr>
      </w:pPr>
      <w:r>
        <w:rPr>
          <w:rFonts w:hint="eastAsia" w:ascii="黑体" w:hAnsi="黑体" w:eastAsia="黑体" w:cs="黑体"/>
          <w:sz w:val="36"/>
          <w:szCs w:val="36"/>
          <w:lang w:val="en-US" w:eastAsia="zh-CN"/>
        </w:rPr>
        <w:t>广西拍卖行业协会关于公布新入会企业名单的通知</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各会员单位：</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截止2019年4月23日止，协会共收到11家新成立拍卖企业加入协会的申请。根据章程的规定，经2019年4月24日协会四届五次理事会暨四届五次常务理事会审议通过，同意广西恒兴拍卖有限责任公司等11家企业入会的申请，成为广西拍卖行业协会四届会员单位。现将名单公布如下：</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广西恒兴拍卖有限责任公司</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shd w:val="clear" w:color="auto" w:fill="FFFFFF"/>
        </w:rPr>
        <w:t>广西万利拍卖有限公司</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rPr>
        <w:t>广西国华拍卖有限责任公司</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rPr>
        <w:t>广西永汉拍卖有限责任公司</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广西英达思拍卖有限公司</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广西凯捷拍卖有限公司</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广西金王泰拍卖有限公司</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rPr>
        <w:t>广西盈烨拍卖有限责任公司</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rPr>
        <w:t>广西稻多拍卖有限公司</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广西实穗拍卖有限公司</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广西大盛行拍卖有限责任公司</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广西拍卖行业协会</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二0一九年五月七日</w:t>
      </w:r>
    </w:p>
    <w:p>
      <w:pPr>
        <w:rPr>
          <w:rFonts w:hint="eastAsia" w:ascii="仿宋_GB2312" w:hAnsi="宋体" w:eastAsia="仿宋_GB2312" w:cs="宋体"/>
          <w:sz w:val="24"/>
          <w:szCs w:val="24"/>
          <w:lang w:val="en-US" w:eastAsia="zh-CN"/>
        </w:rPr>
      </w:pP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广西拍卖行业协会关于公布会员单位</w:t>
      </w:r>
    </w:p>
    <w:p>
      <w:pPr>
        <w:jc w:val="center"/>
        <w:rPr>
          <w:rFonts w:hint="eastAsia" w:ascii="仿宋_GB2312" w:hAnsi="仿宋_GB2312" w:eastAsia="仿宋_GB2312" w:cs="仿宋_GB2312"/>
          <w:sz w:val="32"/>
          <w:szCs w:val="32"/>
          <w:lang w:val="en-US" w:eastAsia="zh-CN"/>
        </w:rPr>
      </w:pPr>
      <w:r>
        <w:rPr>
          <w:rFonts w:hint="eastAsia" w:ascii="黑体" w:hAnsi="黑体" w:eastAsia="黑体" w:cs="黑体"/>
          <w:sz w:val="36"/>
          <w:szCs w:val="36"/>
          <w:lang w:val="en-US" w:eastAsia="zh-CN"/>
        </w:rPr>
        <w:t>自动退会名单的通知</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各会员单位：</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仿宋_GB2312" w:eastAsia="仿宋_GB2312"/>
          <w:sz w:val="28"/>
          <w:szCs w:val="28"/>
        </w:rPr>
      </w:pPr>
      <w:r>
        <w:rPr>
          <w:rFonts w:hint="eastAsia" w:ascii="仿宋_GB2312" w:eastAsia="仿宋_GB2312"/>
          <w:sz w:val="28"/>
          <w:szCs w:val="28"/>
        </w:rPr>
        <w:t>根据自治区商务厅2017年度全区拍卖企业年检情况的通报，2017年不通过年检的企业</w:t>
      </w:r>
      <w:r>
        <w:rPr>
          <w:rFonts w:hint="eastAsia" w:ascii="仿宋_GB2312" w:eastAsia="仿宋_GB2312"/>
          <w:sz w:val="28"/>
          <w:szCs w:val="28"/>
          <w:lang w:eastAsia="zh-CN"/>
        </w:rPr>
        <w:t>为</w:t>
      </w:r>
      <w:r>
        <w:rPr>
          <w:rFonts w:hint="eastAsia" w:ascii="仿宋_GB2312" w:eastAsia="仿宋_GB2312"/>
          <w:sz w:val="28"/>
          <w:szCs w:val="28"/>
        </w:rPr>
        <w:t>17家，被自治区商务厅撤销其拍卖经营资格，其中有10家是协会的会员单位，按照协会章程的规定，</w:t>
      </w:r>
      <w:r>
        <w:rPr>
          <w:rFonts w:hint="eastAsia" w:ascii="仿宋_GB2312" w:eastAsia="仿宋_GB2312"/>
          <w:sz w:val="28"/>
          <w:szCs w:val="28"/>
          <w:lang w:eastAsia="zh-CN"/>
        </w:rPr>
        <w:t>经</w:t>
      </w:r>
      <w:r>
        <w:rPr>
          <w:rFonts w:hint="eastAsia" w:ascii="仿宋_GB2312" w:eastAsia="仿宋_GB2312"/>
          <w:sz w:val="28"/>
          <w:szCs w:val="28"/>
          <w:lang w:val="en-US" w:eastAsia="zh-CN"/>
        </w:rPr>
        <w:t>2019年4月24日协会理事会暨常务理事会审议通过。对以下会员单位</w:t>
      </w:r>
      <w:r>
        <w:rPr>
          <w:rFonts w:hint="eastAsia" w:ascii="仿宋_GB2312" w:eastAsia="仿宋_GB2312"/>
          <w:sz w:val="28"/>
          <w:szCs w:val="28"/>
        </w:rPr>
        <w:t>作自动退会处理</w:t>
      </w:r>
      <w:r>
        <w:rPr>
          <w:rFonts w:hint="eastAsia" w:ascii="仿宋_GB2312" w:eastAsia="仿宋_GB2312"/>
          <w:sz w:val="28"/>
          <w:szCs w:val="28"/>
          <w:lang w:eastAsia="zh-CN"/>
        </w:rPr>
        <w:t>。</w:t>
      </w:r>
      <w:r>
        <w:rPr>
          <w:rFonts w:hint="eastAsia" w:ascii="仿宋_GB2312" w:eastAsia="仿宋_GB2312"/>
          <w:sz w:val="28"/>
          <w:szCs w:val="28"/>
        </w:rPr>
        <w:t>具体名单</w:t>
      </w:r>
      <w:r>
        <w:rPr>
          <w:rFonts w:hint="eastAsia" w:ascii="仿宋_GB2312" w:eastAsia="仿宋_GB2312"/>
          <w:sz w:val="28"/>
          <w:szCs w:val="28"/>
          <w:lang w:eastAsia="zh-CN"/>
        </w:rPr>
        <w:t>如下：</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1"/>
        <w:rPr>
          <w:rFonts w:hint="eastAsia" w:ascii="仿宋_GB2312" w:hAnsi="新宋体" w:eastAsia="仿宋_GB2312"/>
          <w:sz w:val="28"/>
          <w:szCs w:val="28"/>
        </w:rPr>
      </w:pPr>
      <w:r>
        <w:rPr>
          <w:rFonts w:hint="eastAsia" w:ascii="仿宋_GB2312" w:hAnsi="新宋体" w:eastAsia="仿宋_GB2312" w:cs="宋体"/>
          <w:kern w:val="0"/>
          <w:sz w:val="28"/>
          <w:szCs w:val="28"/>
        </w:rPr>
        <w:t>１、广西聚盈拍卖有限公司</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1"/>
        <w:rPr>
          <w:rFonts w:hint="eastAsia" w:ascii="仿宋_GB2312" w:hAnsi="新宋体" w:eastAsia="仿宋_GB2312"/>
          <w:sz w:val="28"/>
          <w:szCs w:val="28"/>
        </w:rPr>
      </w:pPr>
      <w:r>
        <w:rPr>
          <w:rFonts w:hint="eastAsia" w:ascii="仿宋_GB2312" w:hAnsi="新宋体" w:eastAsia="仿宋_GB2312" w:cs="宋体"/>
          <w:kern w:val="0"/>
          <w:sz w:val="28"/>
          <w:szCs w:val="28"/>
        </w:rPr>
        <w:t>２、广西百安拍卖有限公司</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1"/>
        <w:rPr>
          <w:rFonts w:hint="eastAsia" w:ascii="仿宋_GB2312" w:hAnsi="新宋体" w:eastAsia="仿宋_GB2312" w:cs="宋体"/>
          <w:kern w:val="0"/>
          <w:sz w:val="28"/>
          <w:szCs w:val="28"/>
        </w:rPr>
      </w:pPr>
      <w:r>
        <w:rPr>
          <w:rFonts w:hint="eastAsia" w:ascii="仿宋_GB2312" w:hAnsi="新宋体" w:eastAsia="仿宋_GB2312" w:cs="宋体"/>
          <w:kern w:val="0"/>
          <w:sz w:val="28"/>
          <w:szCs w:val="28"/>
        </w:rPr>
        <w:t>３、广西南宁汇越拍卖有限公司</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1"/>
        <w:rPr>
          <w:rFonts w:hint="eastAsia" w:ascii="仿宋_GB2312" w:hAnsi="新宋体" w:eastAsia="仿宋_GB2312" w:cs="宋体"/>
          <w:kern w:val="0"/>
          <w:sz w:val="28"/>
          <w:szCs w:val="28"/>
        </w:rPr>
      </w:pPr>
      <w:r>
        <w:rPr>
          <w:rFonts w:hint="eastAsia" w:ascii="仿宋_GB2312" w:hAnsi="新宋体" w:eastAsia="仿宋_GB2312" w:cs="Arial"/>
          <w:kern w:val="0"/>
          <w:sz w:val="28"/>
          <w:szCs w:val="28"/>
        </w:rPr>
        <w:t>４、广西金拍利拍卖有限公司</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1"/>
        <w:rPr>
          <w:rFonts w:hint="eastAsia" w:ascii="仿宋_GB2312" w:hAnsi="新宋体" w:eastAsia="仿宋_GB2312" w:cs="宋体"/>
          <w:kern w:val="0"/>
          <w:sz w:val="28"/>
          <w:szCs w:val="28"/>
        </w:rPr>
      </w:pPr>
      <w:r>
        <w:rPr>
          <w:rFonts w:hint="eastAsia" w:ascii="仿宋_GB2312" w:hAnsi="新宋体" w:eastAsia="仿宋_GB2312" w:cs="宋体"/>
          <w:kern w:val="0"/>
          <w:sz w:val="28"/>
          <w:szCs w:val="28"/>
        </w:rPr>
        <w:t>５、广西涵古轩拍卖有限公司</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1"/>
        <w:rPr>
          <w:rFonts w:hint="eastAsia" w:ascii="仿宋_GB2312" w:hAnsi="新宋体" w:eastAsia="仿宋_GB2312" w:cs="宋体"/>
          <w:kern w:val="0"/>
          <w:sz w:val="28"/>
          <w:szCs w:val="28"/>
        </w:rPr>
      </w:pPr>
      <w:r>
        <w:rPr>
          <w:rFonts w:hint="eastAsia" w:ascii="仿宋_GB2312" w:hAnsi="新宋体" w:eastAsia="仿宋_GB2312"/>
          <w:sz w:val="28"/>
          <w:szCs w:val="28"/>
        </w:rPr>
        <w:t>６、广西银信拍卖有限公司</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1"/>
        <w:rPr>
          <w:rFonts w:hint="eastAsia" w:ascii="仿宋_GB2312" w:hAnsi="新宋体" w:eastAsia="仿宋_GB2312"/>
          <w:sz w:val="28"/>
          <w:szCs w:val="28"/>
        </w:rPr>
      </w:pPr>
      <w:r>
        <w:rPr>
          <w:rFonts w:hint="eastAsia" w:ascii="仿宋_GB2312" w:hAnsi="新宋体" w:eastAsia="仿宋_GB2312"/>
          <w:sz w:val="28"/>
          <w:szCs w:val="28"/>
        </w:rPr>
        <w:t>７、广西天平拍卖有限责任公司</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1"/>
        <w:rPr>
          <w:rFonts w:hint="eastAsia" w:ascii="仿宋_GB2312" w:hAnsi="新宋体" w:eastAsia="仿宋_GB2312"/>
          <w:sz w:val="28"/>
          <w:szCs w:val="28"/>
        </w:rPr>
      </w:pPr>
      <w:r>
        <w:rPr>
          <w:rFonts w:hint="eastAsia" w:ascii="仿宋_GB2312" w:hAnsi="新宋体" w:eastAsia="仿宋_GB2312"/>
          <w:sz w:val="28"/>
          <w:szCs w:val="28"/>
        </w:rPr>
        <w:t>８、广西梧州市国仁拍卖行有限公司</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1"/>
        <w:rPr>
          <w:rFonts w:hint="eastAsia" w:ascii="仿宋_GB2312" w:hAnsi="新宋体" w:eastAsia="仿宋_GB2312"/>
          <w:sz w:val="28"/>
          <w:szCs w:val="28"/>
        </w:rPr>
      </w:pPr>
      <w:r>
        <w:rPr>
          <w:rFonts w:hint="eastAsia" w:ascii="仿宋_GB2312" w:hAnsi="新宋体" w:eastAsia="仿宋_GB2312"/>
          <w:sz w:val="28"/>
          <w:szCs w:val="28"/>
        </w:rPr>
        <w:t>９、广西玉林鑫金拍卖有限公司</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新宋体" w:hAnsi="新宋体" w:eastAsia="新宋体"/>
          <w:b/>
          <w:sz w:val="28"/>
          <w:szCs w:val="28"/>
        </w:rPr>
      </w:pPr>
      <w:r>
        <w:rPr>
          <w:rFonts w:hint="eastAsia" w:ascii="仿宋_GB2312" w:hAnsi="新宋体" w:eastAsia="仿宋_GB2312"/>
          <w:sz w:val="28"/>
          <w:szCs w:val="28"/>
        </w:rPr>
        <w:t>10、河池市三源拍卖有限公司</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广西拍卖行业协会</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二0一九年五月七日</w:t>
      </w:r>
    </w:p>
    <w:p>
      <w:pPr>
        <w:jc w:val="center"/>
        <w:rPr>
          <w:rFonts w:ascii="新宋体" w:hAnsi="新宋体" w:eastAsia="新宋体"/>
          <w:b/>
          <w:sz w:val="32"/>
          <w:szCs w:val="32"/>
        </w:rPr>
      </w:pPr>
      <w:r>
        <w:rPr>
          <w:rFonts w:hint="eastAsia" w:ascii="黑体" w:hAnsi="黑体" w:eastAsia="黑体" w:cs="黑体"/>
          <w:b/>
          <w:sz w:val="36"/>
          <w:szCs w:val="36"/>
        </w:rPr>
        <w:t>广西拍卖行业协会关于表彰“创新企业”的决定</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b/>
          <w:sz w:val="28"/>
          <w:szCs w:val="28"/>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各会员单位：</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为了应对行业变化，克服困难开拓创新，勇于实践，促进行业健康发展。协会决定授予广西昌鼎拍卖有限责任公司广西拍卖行业“创新企业”荣誉称号。</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希望广西昌鼎拍卖有限责任公司珍惜荣誉，再接再励，开拓进取，在今后的工作中取得新的成绩，创造新的业绩。希望全区广大拍卖企业和员工向广西昌鼎拍卖有限责任公司学习，为广西拍卖业的健康可持续发展作出新贡献。</w:t>
      </w: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广西拍卖行业协会</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二0一九年四月二十五日</w:t>
      </w:r>
    </w:p>
    <w:p>
      <w:pPr>
        <w:rPr>
          <w:rFonts w:hint="eastAsia" w:ascii="仿宋_GB2312" w:hAnsi="仿宋_GB2312" w:eastAsia="仿宋_GB2312" w:cs="仿宋_GB2312"/>
          <w:sz w:val="32"/>
          <w:szCs w:val="32"/>
        </w:rPr>
      </w:pPr>
    </w:p>
    <w:p>
      <w:pPr>
        <w:jc w:val="center"/>
        <w:rPr>
          <w:rFonts w:hint="eastAsia" w:ascii="黑体" w:hAnsi="黑体" w:eastAsia="黑体" w:cs="黑体"/>
          <w:b/>
          <w:sz w:val="36"/>
          <w:szCs w:val="36"/>
        </w:rPr>
      </w:pPr>
      <w:r>
        <w:rPr>
          <w:rFonts w:hint="eastAsia" w:ascii="黑体" w:hAnsi="黑体" w:eastAsia="黑体" w:cs="黑体"/>
          <w:b/>
          <w:sz w:val="36"/>
          <w:szCs w:val="36"/>
        </w:rPr>
        <w:t>广西拍卖行业协会关于表彰“优秀企业家”的决定</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sz w:val="28"/>
          <w:szCs w:val="28"/>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b w:val="0"/>
          <w:bCs/>
          <w:sz w:val="28"/>
          <w:szCs w:val="28"/>
          <w:lang w:eastAsia="zh-CN"/>
        </w:rPr>
        <w:t>各会员单位：</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区自1997年7月1日贯彻实施中华人民共和国《拍卖法》以来，涌现出一批优秀企业的企业家，为我区经济建设和拍卖行业的健康发展，作出了应有的贡献。为了表彰先进，树立拍卖行业良好形象。协会决定授予广西华盛拍卖有限公司董事长罗诗明等11名同志广西拍卖行业“优秀企业家”荣誉称号。</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希望受表彰的同志再接再厉，开拓进取，为广西拍卖行业健康发展树立良好形象，创造新业绩。</w:t>
      </w:r>
    </w:p>
    <w:p>
      <w:pPr>
        <w:keepNext w:val="0"/>
        <w:keepLines w:val="0"/>
        <w:pageBreakBefore w:val="0"/>
        <w:widowControl w:val="0"/>
        <w:kinsoku/>
        <w:wordWrap/>
        <w:overflowPunct/>
        <w:topLinePunct w:val="0"/>
        <w:autoSpaceDE/>
        <w:autoSpaceDN/>
        <w:bidi w:val="0"/>
        <w:adjustRightInd/>
        <w:snapToGrid/>
        <w:spacing w:line="420" w:lineRule="exact"/>
        <w:ind w:firstLine="4200" w:firstLineChars="15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4480" w:firstLineChars="1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广西拍卖行业协会</w:t>
      </w: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二0一九年四月二十五日</w:t>
      </w:r>
    </w:p>
    <w:p>
      <w:pPr>
        <w:spacing w:line="400" w:lineRule="exact"/>
        <w:rPr>
          <w:rFonts w:hint="eastAsia" w:ascii="仿宋_GB2312" w:hAnsi="仿宋_GB2312" w:eastAsia="仿宋_GB2312" w:cs="仿宋_GB2312"/>
          <w:sz w:val="32"/>
          <w:szCs w:val="32"/>
          <w:lang w:eastAsia="zh-CN"/>
        </w:rPr>
      </w:pPr>
    </w:p>
    <w:p>
      <w:pPr>
        <w:spacing w:line="4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spacing w:line="400" w:lineRule="exact"/>
        <w:rPr>
          <w:rFonts w:hint="eastAsia" w:ascii="仿宋_GB2312" w:hAnsi="仿宋_GB2312" w:eastAsia="仿宋_GB2312" w:cs="仿宋_GB2312"/>
          <w:sz w:val="32"/>
          <w:szCs w:val="32"/>
        </w:rPr>
      </w:pPr>
    </w:p>
    <w:p>
      <w:pPr>
        <w:spacing w:line="400" w:lineRule="exact"/>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华文中宋" w:hAnsi="华文中宋" w:eastAsia="华文中宋" w:cs="华文中宋"/>
          <w:sz w:val="36"/>
          <w:szCs w:val="36"/>
        </w:rPr>
        <w:t xml:space="preserve">  广西拍卖行业优秀企业家名单</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700" w:firstLineChars="250"/>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广西华盛拍卖有限公司董事长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罗诗明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广西正槌拍卖有限责任公司董事长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梁宇明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广西</w:t>
      </w:r>
      <w:r>
        <w:rPr>
          <w:rFonts w:hint="eastAsia" w:ascii="仿宋_GB2312" w:hAnsi="仿宋_GB2312" w:eastAsia="仿宋_GB2312" w:cs="仿宋_GB2312"/>
          <w:color w:val="000000"/>
          <w:kern w:val="0"/>
          <w:sz w:val="28"/>
          <w:szCs w:val="28"/>
          <w:lang w:eastAsia="zh-CN"/>
        </w:rPr>
        <w:t>金锤</w:t>
      </w:r>
      <w:r>
        <w:rPr>
          <w:rFonts w:hint="eastAsia" w:ascii="仿宋_GB2312" w:hAnsi="仿宋_GB2312" w:eastAsia="仿宋_GB2312" w:cs="仿宋_GB2312"/>
          <w:color w:val="000000"/>
          <w:kern w:val="0"/>
          <w:sz w:val="28"/>
          <w:szCs w:val="28"/>
        </w:rPr>
        <w:t>拍卖有限</w:t>
      </w:r>
      <w:r>
        <w:rPr>
          <w:rFonts w:hint="eastAsia" w:ascii="仿宋_GB2312" w:hAnsi="仿宋_GB2312" w:eastAsia="仿宋_GB2312" w:cs="仿宋_GB2312"/>
          <w:color w:val="000000"/>
          <w:kern w:val="0"/>
          <w:sz w:val="28"/>
          <w:szCs w:val="28"/>
          <w:lang w:eastAsia="zh-CN"/>
        </w:rPr>
        <w:t>有限公司</w:t>
      </w:r>
      <w:r>
        <w:rPr>
          <w:rFonts w:hint="eastAsia" w:ascii="仿宋_GB2312" w:hAnsi="仿宋_GB2312" w:eastAsia="仿宋_GB2312" w:cs="仿宋_GB2312"/>
          <w:color w:val="000000"/>
          <w:kern w:val="0"/>
          <w:sz w:val="28"/>
          <w:szCs w:val="28"/>
        </w:rPr>
        <w:t xml:space="preserve">总经理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郝  芳</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广西天锤拍卖有限公司董事长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海小琴</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广西百汇盛拍卖有限公司董事长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马光才</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柳州市阳光拍卖</w:t>
      </w:r>
      <w:r>
        <w:rPr>
          <w:rFonts w:hint="eastAsia" w:ascii="仿宋_GB2312" w:hAnsi="仿宋_GB2312" w:eastAsia="仿宋_GB2312" w:cs="仿宋_GB2312"/>
          <w:color w:val="000000"/>
          <w:kern w:val="0"/>
          <w:sz w:val="28"/>
          <w:szCs w:val="28"/>
          <w:lang w:eastAsia="zh-CN"/>
        </w:rPr>
        <w:t>行</w:t>
      </w:r>
      <w:r>
        <w:rPr>
          <w:rFonts w:hint="eastAsia" w:ascii="仿宋_GB2312" w:hAnsi="仿宋_GB2312" w:eastAsia="仿宋_GB2312" w:cs="仿宋_GB2312"/>
          <w:color w:val="000000"/>
          <w:kern w:val="0"/>
          <w:sz w:val="28"/>
          <w:szCs w:val="28"/>
        </w:rPr>
        <w:t>有限责任公司董事长  周国兴</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广西佳润</w:t>
      </w:r>
      <w:r>
        <w:rPr>
          <w:rFonts w:hint="eastAsia" w:ascii="仿宋_GB2312" w:hAnsi="仿宋_GB2312" w:eastAsia="仿宋_GB2312" w:cs="仿宋_GB2312"/>
          <w:color w:val="000000"/>
          <w:kern w:val="0"/>
          <w:sz w:val="28"/>
          <w:szCs w:val="28"/>
          <w:lang w:eastAsia="zh-CN"/>
        </w:rPr>
        <w:t>拍卖</w:t>
      </w:r>
      <w:r>
        <w:rPr>
          <w:rFonts w:hint="eastAsia" w:ascii="仿宋_GB2312" w:hAnsi="仿宋_GB2312" w:eastAsia="仿宋_GB2312" w:cs="仿宋_GB2312"/>
          <w:color w:val="000000"/>
          <w:kern w:val="0"/>
          <w:sz w:val="28"/>
          <w:szCs w:val="28"/>
        </w:rPr>
        <w:t xml:space="preserve">有限公司董事长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邱媛姣</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广西三正国际拍卖有限公司董事长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谢玉华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广西丰裕国际拍卖有限公司董事长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高  欣</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广西中拍联拍卖有限公司董事长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刘业勤</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钦州市拍卖行有限公司董事长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劳启肇</w:t>
      </w:r>
    </w:p>
    <w:p/>
    <w:p>
      <w:pPr>
        <w:spacing w:line="440" w:lineRule="exact"/>
        <w:rPr>
          <w:rFonts w:hint="eastAsia" w:ascii="宋体" w:hAnsi="宋体"/>
          <w:sz w:val="32"/>
          <w:szCs w:val="32"/>
        </w:rPr>
      </w:pPr>
    </w:p>
    <w:p>
      <w:pPr>
        <w:spacing w:line="440" w:lineRule="exact"/>
        <w:jc w:val="center"/>
        <w:rPr>
          <w:rFonts w:hint="eastAsia" w:ascii="宋体" w:hAnsi="宋体"/>
          <w:b/>
          <w:sz w:val="28"/>
          <w:szCs w:val="28"/>
        </w:rPr>
      </w:pPr>
      <w:r>
        <w:rPr>
          <w:rFonts w:hint="eastAsia" w:ascii="华文中宋" w:hAnsi="华文中宋" w:eastAsia="华文中宋" w:cs="华文中宋"/>
          <w:b/>
          <w:sz w:val="36"/>
          <w:szCs w:val="36"/>
        </w:rPr>
        <w:t>2018年度广西先进拍卖企业名单</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450" w:firstLineChars="250"/>
        <w:jc w:val="left"/>
        <w:textAlignment w:val="auto"/>
        <w:rPr>
          <w:rFonts w:hint="eastAsia" w:ascii="仿宋_GB2312" w:hAnsi="仿宋_GB2312" w:eastAsia="仿宋_GB2312" w:cs="仿宋_GB2312"/>
          <w:color w:val="000000"/>
          <w:kern w:val="0"/>
          <w:sz w:val="18"/>
          <w:szCs w:val="1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1、广西正槌拍卖有限责任公司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2、广西华盛拍卖有限公司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3、广西三正国际拍卖有限公司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4、广西佳润拍卖有限公司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5、广西金锤拍卖有限责任公司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6、广西鼎泰拍卖有限公司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7、广西万泰拍卖有限公司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8、广西中拍盛和拍卖有限公司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9、广西天鸿拍卖有限责任公司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10、广西东伦拍卖有限责任公司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11、广西中拍联拍卖有限公司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12、广西北海地产拍卖行有限公司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13、广西丰裕国际拍卖有限公司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14、广西玉林佳盛拍卖有限责任公司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15、南宁建和拍卖有限责任公司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16、广西百汇盛拍卖有限公司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17、广西龙明拍卖有限责任公司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18、广西利盛拍卖有限公司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19、广西国槌拍卖有限公司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20、广西盛隆拍卖行有限公司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21、广西鹏瑞拍卖有限公司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22、广西万</w:t>
      </w:r>
      <w:r>
        <w:rPr>
          <w:rFonts w:hint="eastAsia" w:ascii="仿宋_GB2312" w:hAnsi="仿宋_GB2312" w:eastAsia="仿宋_GB2312" w:cs="仿宋_GB2312"/>
          <w:color w:val="000000"/>
          <w:kern w:val="0"/>
          <w:sz w:val="28"/>
          <w:szCs w:val="28"/>
          <w:lang w:eastAsia="zh-CN"/>
        </w:rPr>
        <w:t>诚</w:t>
      </w:r>
      <w:r>
        <w:rPr>
          <w:rFonts w:hint="eastAsia" w:ascii="仿宋_GB2312" w:hAnsi="仿宋_GB2312" w:eastAsia="仿宋_GB2312" w:cs="仿宋_GB2312"/>
          <w:color w:val="000000"/>
          <w:kern w:val="0"/>
          <w:sz w:val="28"/>
          <w:szCs w:val="28"/>
        </w:rPr>
        <w:t>拍卖有限公司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23、玉林市铜州拍卖行</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24、广西桂和拍卖有限责任公司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25、广西龙辉拍卖有限公司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26、广西顺铭拍卖有限公司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27、广西南宁法荣拍卖有限公司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28、广西嘉华拍卖有限公司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29、柳州市阳光拍卖</w:t>
      </w:r>
      <w:r>
        <w:rPr>
          <w:rFonts w:hint="eastAsia" w:ascii="仿宋_GB2312" w:hAnsi="仿宋_GB2312" w:eastAsia="仿宋_GB2312" w:cs="仿宋_GB2312"/>
          <w:color w:val="000000"/>
          <w:kern w:val="0"/>
          <w:sz w:val="28"/>
          <w:szCs w:val="28"/>
          <w:lang w:eastAsia="zh-CN"/>
        </w:rPr>
        <w:t>行</w:t>
      </w:r>
      <w:r>
        <w:rPr>
          <w:rFonts w:hint="eastAsia" w:ascii="仿宋_GB2312" w:hAnsi="仿宋_GB2312" w:eastAsia="仿宋_GB2312" w:cs="仿宋_GB2312"/>
          <w:color w:val="000000"/>
          <w:kern w:val="0"/>
          <w:sz w:val="28"/>
          <w:szCs w:val="28"/>
        </w:rPr>
        <w:t>有限责任公司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30、广西万方拍卖有限公司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31、广西南宁泛正拍卖有限公司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32、广西南宁东里欣拍卖有限</w:t>
      </w:r>
      <w:r>
        <w:rPr>
          <w:rFonts w:hint="eastAsia" w:ascii="仿宋_GB2312" w:hAnsi="仿宋_GB2312" w:eastAsia="仿宋_GB2312" w:cs="仿宋_GB2312"/>
          <w:color w:val="000000"/>
          <w:kern w:val="0"/>
          <w:sz w:val="28"/>
          <w:szCs w:val="28"/>
          <w:lang w:eastAsia="zh-CN"/>
        </w:rPr>
        <w:t>责任</w:t>
      </w:r>
      <w:r>
        <w:rPr>
          <w:rFonts w:hint="eastAsia" w:ascii="仿宋_GB2312" w:hAnsi="仿宋_GB2312" w:eastAsia="仿宋_GB2312" w:cs="仿宋_GB2312"/>
          <w:color w:val="000000"/>
          <w:kern w:val="0"/>
          <w:sz w:val="28"/>
          <w:szCs w:val="28"/>
        </w:rPr>
        <w:t>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33、广西恒信拍卖有限公司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34、防城港鋆河拍卖有限责任公司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35、广西南宁东方拍卖有限责任公司</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36、北京中立拍卖行有限</w:t>
      </w:r>
      <w:r>
        <w:rPr>
          <w:rFonts w:hint="eastAsia" w:ascii="仿宋_GB2312" w:hAnsi="仿宋_GB2312" w:eastAsia="仿宋_GB2312" w:cs="仿宋_GB2312"/>
          <w:sz w:val="28"/>
          <w:szCs w:val="28"/>
          <w:lang w:eastAsia="zh-CN"/>
        </w:rPr>
        <w:t>责任</w:t>
      </w:r>
      <w:r>
        <w:rPr>
          <w:rFonts w:hint="eastAsia" w:ascii="仿宋_GB2312" w:hAnsi="仿宋_GB2312" w:eastAsia="仿宋_GB2312" w:cs="仿宋_GB2312"/>
          <w:sz w:val="28"/>
          <w:szCs w:val="28"/>
        </w:rPr>
        <w:t>公司广西分公司</w:t>
      </w:r>
    </w:p>
    <w:p>
      <w:pPr>
        <w:spacing w:line="440" w:lineRule="exact"/>
        <w:rPr>
          <w:rFonts w:hint="eastAsia" w:ascii="仿宋_GB2312" w:hAnsi="仿宋_GB2312" w:eastAsia="仿宋_GB2312" w:cs="仿宋_GB2312"/>
          <w:sz w:val="28"/>
          <w:szCs w:val="28"/>
        </w:rPr>
      </w:pPr>
    </w:p>
    <w:p>
      <w:pPr>
        <w:spacing w:line="440" w:lineRule="exact"/>
        <w:rPr>
          <w:rFonts w:hint="eastAsia" w:ascii="仿宋_GB2312" w:hAnsi="仿宋_GB2312" w:eastAsia="仿宋_GB2312" w:cs="仿宋_GB2312"/>
          <w:sz w:val="28"/>
          <w:szCs w:val="28"/>
        </w:rPr>
      </w:pPr>
    </w:p>
    <w:p>
      <w:pPr>
        <w:spacing w:line="440" w:lineRule="exact"/>
        <w:rPr>
          <w:rFonts w:hint="eastAsia" w:ascii="仿宋_GB2312" w:hAnsi="仿宋_GB2312" w:eastAsia="仿宋_GB2312" w:cs="仿宋_GB2312"/>
          <w:sz w:val="28"/>
          <w:szCs w:val="28"/>
        </w:rPr>
      </w:pPr>
    </w:p>
    <w:p>
      <w:pPr>
        <w:spacing w:line="440" w:lineRule="exact"/>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2018年度广西拍卖行业统计工作先进单位名单</w:t>
      </w:r>
    </w:p>
    <w:p>
      <w:pPr>
        <w:spacing w:line="440" w:lineRule="exact"/>
        <w:ind w:firstLine="561"/>
        <w:rPr>
          <w:rFonts w:hint="eastAsia" w:ascii="宋体" w:hAnsi="宋体"/>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1、钦州市拍卖行有限公司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2、广西鼎泰拍卖有限公司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3、广西金锤拍卖有限</w:t>
      </w:r>
      <w:r>
        <w:rPr>
          <w:rFonts w:hint="eastAsia" w:ascii="仿宋_GB2312" w:hAnsi="仿宋_GB2312" w:eastAsia="仿宋_GB2312" w:cs="仿宋_GB2312"/>
          <w:color w:val="000000"/>
          <w:kern w:val="0"/>
          <w:sz w:val="28"/>
          <w:szCs w:val="28"/>
          <w:lang w:eastAsia="zh-CN"/>
        </w:rPr>
        <w:t>责任</w:t>
      </w:r>
      <w:r>
        <w:rPr>
          <w:rFonts w:hint="eastAsia" w:ascii="仿宋_GB2312" w:hAnsi="仿宋_GB2312" w:eastAsia="仿宋_GB2312" w:cs="仿宋_GB2312"/>
          <w:color w:val="000000"/>
          <w:kern w:val="0"/>
          <w:sz w:val="28"/>
          <w:szCs w:val="28"/>
        </w:rPr>
        <w:t>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4、广西南宁东方拍卖有限责任公司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5、广西华盛拍卖有限公司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6、广西正槌拍卖有限责任公司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7、广西言信拍卖有限公司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8、广西百汇盛拍卖有限公司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9、广西南宁端德拍卖有限公司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10、广西南宁泛正拍卖有限公司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11、广西百源汇拍卖有限公司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12、广西天鸿拍卖有限责任公司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13、广西天锤拍卖有限公司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14、广西三正国际拍卖有限公司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15、广西鑫盛拍卖有限公司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16、广西国槌拍卖有限公司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17、广西中拍联拍卖有限公司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18、广西中拍盛和拍卖有限公司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19、广西佳润拍卖有限公司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20、广西嘉华拍卖有限公司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21、广西丰裕国际拍卖有限公司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22、广西万方拍卖有限公司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23、贵港市金槌拍卖有限公司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24、广西万泰拍卖有限公司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25、广西鑫邦拍卖有限公司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26、桂林市天宇拍卖有限公司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27、广西鹏瑞拍卖有限公司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28、广西涛银拍卖有限公司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29、广西南宁东里欣拍卖有限责任公司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30、广西东伦拍卖有限责任公司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31、柳州市阳光拍卖行有限责任公司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32、广西泓润拍卖有限责任公司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33、广西古今拍卖有限公司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34、广西华之邦拍卖有限公司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35、河池市拍卖中心有限公司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36、广西高明</w:t>
      </w:r>
      <w:r>
        <w:rPr>
          <w:rFonts w:hint="eastAsia" w:ascii="仿宋_GB2312" w:hAnsi="仿宋_GB2312" w:eastAsia="仿宋_GB2312" w:cs="仿宋_GB2312"/>
          <w:color w:val="000000"/>
          <w:kern w:val="0"/>
          <w:sz w:val="28"/>
          <w:szCs w:val="28"/>
          <w:lang w:eastAsia="zh-CN"/>
        </w:rPr>
        <w:t>天诚</w:t>
      </w:r>
      <w:r>
        <w:rPr>
          <w:rFonts w:hint="eastAsia" w:ascii="仿宋_GB2312" w:hAnsi="仿宋_GB2312" w:eastAsia="仿宋_GB2312" w:cs="仿宋_GB2312"/>
          <w:color w:val="000000"/>
          <w:kern w:val="0"/>
          <w:sz w:val="28"/>
          <w:szCs w:val="28"/>
        </w:rPr>
        <w:t>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37、广西盛隆拍卖有限公司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38、防城港市鑫祥拍卖有限责任公司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1"/>
        <w:jc w:val="left"/>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39、广西南方拍卖有限责任公司</w:t>
      </w:r>
    </w:p>
    <w:p>
      <w:pPr>
        <w:spacing w:line="440" w:lineRule="exact"/>
        <w:rPr>
          <w:rFonts w:hint="eastAsia" w:ascii="宋体" w:hAnsi="宋体"/>
          <w:sz w:val="28"/>
          <w:szCs w:val="28"/>
        </w:rPr>
      </w:pPr>
    </w:p>
    <w:p>
      <w:pPr>
        <w:spacing w:line="440" w:lineRule="exact"/>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2018年度广西优秀拍卖师名单</w:t>
      </w:r>
    </w:p>
    <w:p>
      <w:pPr>
        <w:spacing w:line="440" w:lineRule="exact"/>
        <w:jc w:val="center"/>
        <w:rPr>
          <w:rFonts w:hint="eastAsia" w:ascii="宋体" w:hAnsi="宋体"/>
          <w:b/>
          <w:sz w:val="28"/>
          <w:szCs w:val="28"/>
        </w:rPr>
      </w:pPr>
      <w:r>
        <w:rPr>
          <w:rFonts w:hint="eastAsia" w:ascii="宋体" w:hAnsi="宋体"/>
          <w:b/>
          <w:sz w:val="28"/>
          <w:szCs w:val="28"/>
        </w:rPr>
        <w:t xml:space="preserve"> </w:t>
      </w:r>
    </w:p>
    <w:tbl>
      <w:tblPr>
        <w:tblStyle w:val="6"/>
        <w:tblW w:w="7242" w:type="dxa"/>
        <w:tblInd w:w="539" w:type="dxa"/>
        <w:tblLayout w:type="fixed"/>
        <w:tblCellMar>
          <w:top w:w="0" w:type="dxa"/>
          <w:left w:w="108" w:type="dxa"/>
          <w:bottom w:w="0" w:type="dxa"/>
          <w:right w:w="108" w:type="dxa"/>
        </w:tblCellMar>
      </w:tblPr>
      <w:tblGrid>
        <w:gridCol w:w="988"/>
        <w:gridCol w:w="1322"/>
        <w:gridCol w:w="4932"/>
      </w:tblGrid>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谢玉华</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广西三正国际拍卖有限公司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 玮</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广西三正国际拍卖有限公司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濮邦平</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广西华之邦拍卖有限公司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祝有照</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广西鼎泰拍卖有限公司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龙景亮</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广西利盛拍卖有限公司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梁宇明</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广西正槌拍卖有限责任公司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刘业勤</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广西中拍盛和拍卖有限公司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梁德健</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广西中拍联拍卖有限公司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覃华春</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广西金锤拍卖有限责任公司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钟俊尧</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广西桂和拍卖有限责任公司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张继凤  </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广西天鸿拍卖有限责任公司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邱媛姣</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广西佳润拍卖有限公司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高明玉</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广西丰裕国际拍卖有限公司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廖 建</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广西万泰拍卖有限公司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黄子津</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广西南宁法荣拍卖有限公司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马光才</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广西百汇盛拍卖有限公司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郭泽勤</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广西华盛拍卖有限公司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庞宏深</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广西百源汇拍卖有限公司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蒋艳明  </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广西东伦拍卖有限责任公司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陆慧芳</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广西百源汇拍卖有限公司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吉华军  </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广西英达思拍卖有限公司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薛玉辉</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广西龙辉拍卖有限公司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李晓峰</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广西龙明拍卖有限责任公司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 源</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广西泓润拍卖有限责任公司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李晓红</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广西玉林市佳盛拍卖有限责任公司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梁福浩</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玉林市铜州拍卖行</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缪有智</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广西盛隆拍卖有限公司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覃杰荣</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广西顺铭拍卖有限责任公司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29</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梁宇平</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广西正槌拍卖有限责任公司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陈以霈</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广西正槌拍卖有限责任公司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黄寿维</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广西高明天诚拍卖有限公司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黄金花</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广西万方拍卖有限公司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刘云芳</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南宁建和拍卖有限责任公司</w:t>
            </w:r>
          </w:p>
        </w:tc>
      </w:tr>
      <w:tr>
        <w:tblPrEx>
          <w:tblLayout w:type="fixed"/>
          <w:tblCellMar>
            <w:top w:w="0" w:type="dxa"/>
            <w:left w:w="108" w:type="dxa"/>
            <w:bottom w:w="0" w:type="dxa"/>
            <w:right w:w="108" w:type="dxa"/>
          </w:tblCellMar>
        </w:tblPrEx>
        <w:trPr>
          <w:trHeight w:val="397" w:hRule="exact"/>
        </w:trPr>
        <w:tc>
          <w:tcPr>
            <w:tcW w:w="988"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w:t>
            </w:r>
          </w:p>
        </w:tc>
        <w:tc>
          <w:tcPr>
            <w:tcW w:w="1322" w:type="dxa"/>
            <w:tcBorders>
              <w:top w:val="nil"/>
              <w:left w:val="nil"/>
              <w:bottom w:val="nil"/>
              <w:right w:val="nil"/>
            </w:tcBorders>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陈洪涛</w:t>
            </w:r>
          </w:p>
        </w:tc>
        <w:tc>
          <w:tcPr>
            <w:tcW w:w="4932" w:type="dxa"/>
            <w:tcBorders>
              <w:top w:val="nil"/>
              <w:left w:val="nil"/>
              <w:bottom w:val="nil"/>
              <w:right w:val="nil"/>
            </w:tcBorders>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广西鑫盛拍卖有限公司</w:t>
            </w:r>
          </w:p>
        </w:tc>
      </w:tr>
    </w:tbl>
    <w:p>
      <w:pPr>
        <w:spacing w:line="440" w:lineRule="exact"/>
        <w:rPr>
          <w:rFonts w:hint="eastAsia" w:ascii="仿宋_GB2312" w:hAnsi="仿宋_GB2312" w:eastAsia="仿宋_GB2312" w:cs="仿宋_GB2312"/>
          <w:sz w:val="32"/>
          <w:szCs w:val="32"/>
        </w:rPr>
      </w:pPr>
    </w:p>
    <w:p>
      <w:pPr>
        <w:spacing w:line="440" w:lineRule="exact"/>
        <w:jc w:val="center"/>
        <w:outlineLvl w:val="0"/>
        <w:rPr>
          <w:rFonts w:hint="eastAsia" w:ascii="黑体" w:hAnsi="黑体" w:eastAsia="黑体" w:cs="黑体"/>
          <w:b w:val="0"/>
          <w:bCs/>
          <w:sz w:val="36"/>
          <w:szCs w:val="36"/>
        </w:rPr>
      </w:pPr>
      <w:r>
        <w:rPr>
          <w:rFonts w:hint="eastAsia" w:ascii="黑体" w:hAnsi="黑体" w:eastAsia="黑体" w:cs="黑体"/>
          <w:b w:val="0"/>
          <w:bCs/>
          <w:sz w:val="36"/>
          <w:szCs w:val="36"/>
        </w:rPr>
        <w:t>2018年度《广西拍卖通讯》优秀通讯员名单</w:t>
      </w:r>
    </w:p>
    <w:p>
      <w:pPr>
        <w:spacing w:line="440" w:lineRule="exact"/>
        <w:jc w:val="center"/>
        <w:rPr>
          <w:rFonts w:hint="eastAsia" w:ascii="宋体" w:hAnsi="宋体"/>
          <w:sz w:val="28"/>
          <w:szCs w:val="28"/>
        </w:rPr>
      </w:pPr>
    </w:p>
    <w:tbl>
      <w:tblPr>
        <w:tblStyle w:val="6"/>
        <w:tblW w:w="7091" w:type="dxa"/>
        <w:jc w:val="center"/>
        <w:tblInd w:w="11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79"/>
        <w:gridCol w:w="4512"/>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exact"/>
          <w:jc w:val="center"/>
        </w:trPr>
        <w:tc>
          <w:tcPr>
            <w:tcW w:w="1079"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4512"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工作单位名称</w:t>
            </w:r>
          </w:p>
        </w:tc>
        <w:tc>
          <w:tcPr>
            <w:tcW w:w="150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exact"/>
          <w:jc w:val="center"/>
        </w:trPr>
        <w:tc>
          <w:tcPr>
            <w:tcW w:w="1079"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１</w:t>
            </w:r>
          </w:p>
        </w:tc>
        <w:tc>
          <w:tcPr>
            <w:tcW w:w="4512"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广西正槌拍卖有限责任公司</w:t>
            </w:r>
          </w:p>
        </w:tc>
        <w:tc>
          <w:tcPr>
            <w:tcW w:w="150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梁敏莉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exact"/>
          <w:jc w:val="center"/>
        </w:trPr>
        <w:tc>
          <w:tcPr>
            <w:tcW w:w="1079"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512"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广西正槌拍卖有限责任公司</w:t>
            </w:r>
          </w:p>
        </w:tc>
        <w:tc>
          <w:tcPr>
            <w:tcW w:w="150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shd w:val="clear" w:color="auto" w:fill="FFFFFF"/>
              </w:rPr>
              <w:t>何静宜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exact"/>
          <w:jc w:val="center"/>
        </w:trPr>
        <w:tc>
          <w:tcPr>
            <w:tcW w:w="1079"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512"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广西正槌拍卖有限责任公司</w:t>
            </w:r>
          </w:p>
        </w:tc>
        <w:tc>
          <w:tcPr>
            <w:tcW w:w="150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郑 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exact"/>
          <w:jc w:val="center"/>
        </w:trPr>
        <w:tc>
          <w:tcPr>
            <w:tcW w:w="1079"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512"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广西三正国际拍卖有限公司</w:t>
            </w:r>
          </w:p>
        </w:tc>
        <w:tc>
          <w:tcPr>
            <w:tcW w:w="150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谢玉华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exact"/>
          <w:jc w:val="center"/>
        </w:trPr>
        <w:tc>
          <w:tcPr>
            <w:tcW w:w="1079"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512"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广西三正国际拍卖有限公司</w:t>
            </w:r>
          </w:p>
        </w:tc>
        <w:tc>
          <w:tcPr>
            <w:tcW w:w="150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 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exact"/>
          <w:jc w:val="center"/>
        </w:trPr>
        <w:tc>
          <w:tcPr>
            <w:tcW w:w="1079"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4512"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广西三正国际拍卖有限公司</w:t>
            </w:r>
          </w:p>
        </w:tc>
        <w:tc>
          <w:tcPr>
            <w:tcW w:w="150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周绮翔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exact"/>
          <w:jc w:val="center"/>
        </w:trPr>
        <w:tc>
          <w:tcPr>
            <w:tcW w:w="1079"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4512"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广西佳润拍卖有限公司</w:t>
            </w:r>
          </w:p>
        </w:tc>
        <w:tc>
          <w:tcPr>
            <w:tcW w:w="150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林 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exact"/>
          <w:jc w:val="center"/>
        </w:trPr>
        <w:tc>
          <w:tcPr>
            <w:tcW w:w="1079"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4512"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广西鼎泰拍卖有限公司</w:t>
            </w:r>
          </w:p>
        </w:tc>
        <w:tc>
          <w:tcPr>
            <w:tcW w:w="150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赵丽萍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exact"/>
          <w:jc w:val="center"/>
        </w:trPr>
        <w:tc>
          <w:tcPr>
            <w:tcW w:w="1079"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4512"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广西鼎泰拍卖有限公司</w:t>
            </w:r>
          </w:p>
        </w:tc>
        <w:tc>
          <w:tcPr>
            <w:tcW w:w="150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韦懿恩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exact"/>
          <w:jc w:val="center"/>
        </w:trPr>
        <w:tc>
          <w:tcPr>
            <w:tcW w:w="1079"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4512"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w:t>
            </w:r>
            <w:r>
              <w:rPr>
                <w:rFonts w:hint="eastAsia" w:ascii="仿宋_GB2312" w:hAnsi="仿宋_GB2312" w:eastAsia="仿宋_GB2312" w:cs="仿宋_GB2312"/>
                <w:sz w:val="28"/>
                <w:szCs w:val="28"/>
                <w:lang w:eastAsia="zh-CN"/>
              </w:rPr>
              <w:t>企赫</w:t>
            </w:r>
            <w:r>
              <w:rPr>
                <w:rFonts w:hint="eastAsia" w:ascii="仿宋_GB2312" w:hAnsi="仿宋_GB2312" w:eastAsia="仿宋_GB2312" w:cs="仿宋_GB2312"/>
                <w:sz w:val="28"/>
                <w:szCs w:val="28"/>
              </w:rPr>
              <w:t>拍卖有限责任公司</w:t>
            </w:r>
          </w:p>
        </w:tc>
        <w:tc>
          <w:tcPr>
            <w:tcW w:w="150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甘</w:t>
            </w:r>
            <w:r>
              <w:rPr>
                <w:rFonts w:hint="eastAsia" w:ascii="仿宋_GB2312" w:hAnsi="仿宋_GB2312" w:eastAsia="仿宋_GB2312" w:cs="仿宋_GB2312"/>
                <w:sz w:val="28"/>
                <w:szCs w:val="28"/>
              </w:rPr>
              <w:t>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exact"/>
          <w:jc w:val="center"/>
        </w:trPr>
        <w:tc>
          <w:tcPr>
            <w:tcW w:w="1079"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4512"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w:t>
            </w:r>
            <w:r>
              <w:rPr>
                <w:rFonts w:hint="eastAsia" w:ascii="仿宋_GB2312" w:hAnsi="仿宋_GB2312" w:eastAsia="仿宋_GB2312" w:cs="仿宋_GB2312"/>
                <w:sz w:val="28"/>
                <w:szCs w:val="28"/>
                <w:lang w:eastAsia="zh-CN"/>
              </w:rPr>
              <w:t>企赫</w:t>
            </w:r>
            <w:r>
              <w:rPr>
                <w:rFonts w:hint="eastAsia" w:ascii="仿宋_GB2312" w:hAnsi="仿宋_GB2312" w:eastAsia="仿宋_GB2312" w:cs="仿宋_GB2312"/>
                <w:sz w:val="28"/>
                <w:szCs w:val="28"/>
              </w:rPr>
              <w:t>拍卖有限责任公司</w:t>
            </w:r>
          </w:p>
        </w:tc>
        <w:tc>
          <w:tcPr>
            <w:tcW w:w="150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许玮靖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exact"/>
          <w:jc w:val="center"/>
        </w:trPr>
        <w:tc>
          <w:tcPr>
            <w:tcW w:w="1079"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4512"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广西丰裕国际拍卖有限公司</w:t>
            </w:r>
          </w:p>
        </w:tc>
        <w:tc>
          <w:tcPr>
            <w:tcW w:w="150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高明玉</w:t>
            </w:r>
          </w:p>
        </w:tc>
      </w:tr>
    </w:tbl>
    <w:p>
      <w:pPr>
        <w:spacing w:line="440" w:lineRule="exact"/>
        <w:rPr>
          <w:rFonts w:ascii="宋体" w:hAnsi="宋体"/>
          <w:sz w:val="30"/>
          <w:szCs w:val="30"/>
        </w:rPr>
      </w:pPr>
    </w:p>
    <w:p>
      <w:pPr>
        <w:rPr>
          <w:rFonts w:hint="eastAsia" w:asciiTheme="majorEastAsia" w:hAnsiTheme="majorEastAsia" w:eastAsiaTheme="majorEastAsia" w:cstheme="majorEastAsia"/>
          <w:b/>
          <w:bCs/>
          <w:sz w:val="30"/>
          <w:szCs w:val="30"/>
          <w:bdr w:val="single" w:sz="4" w:space="0"/>
          <w:lang w:val="en-US" w:eastAsia="zh-CN"/>
        </w:rPr>
      </w:pPr>
      <w:r>
        <w:rPr>
          <w:rFonts w:hint="eastAsia" w:asciiTheme="majorEastAsia" w:hAnsiTheme="majorEastAsia" w:eastAsiaTheme="majorEastAsia" w:cstheme="majorEastAsia"/>
          <w:b/>
          <w:bCs/>
          <w:sz w:val="30"/>
          <w:szCs w:val="30"/>
          <w:bdr w:val="single" w:sz="4" w:space="0"/>
          <w:lang w:val="en-US" w:eastAsia="zh-CN"/>
        </w:rPr>
        <w:t>行业要闻</w:t>
      </w:r>
    </w:p>
    <w:p>
      <w:pPr>
        <w:jc w:val="center"/>
        <w:rPr>
          <w:rFonts w:hint="eastAsia" w:ascii="黑体" w:hAnsi="黑体" w:eastAsia="黑体" w:cs="黑体"/>
          <w:sz w:val="24"/>
          <w:szCs w:val="24"/>
          <w:lang w:eastAsia="zh-CN"/>
        </w:rPr>
      </w:pPr>
    </w:p>
    <w:p>
      <w:pPr>
        <w:jc w:val="center"/>
        <w:rPr>
          <w:rFonts w:hint="eastAsia" w:ascii="黑体" w:hAnsi="黑体" w:eastAsia="黑体" w:cs="黑体"/>
          <w:sz w:val="36"/>
          <w:szCs w:val="36"/>
          <w:lang w:eastAsia="zh-CN"/>
        </w:rPr>
      </w:pPr>
      <w:r>
        <w:rPr>
          <w:rFonts w:hint="eastAsia" w:ascii="黑体" w:hAnsi="黑体" w:eastAsia="黑体" w:cs="黑体"/>
          <w:sz w:val="44"/>
          <w:szCs w:val="44"/>
          <w:lang w:eastAsia="zh-CN"/>
        </w:rPr>
        <w:t>做好拍卖售后的线下服务</w:t>
      </w:r>
    </w:p>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潘振华</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黑体" w:hAnsi="黑体" w:eastAsia="黑体" w:cs="黑体"/>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拍卖行业受到了前所未有的挑战，拍卖企业生存空间被挤压得越来越小。拍卖之路越走越艰难。但是在网络拍卖的背后也隐藏着致命的薄弱环节，那就是售后服务，拍卖公司如果能利用自身多年积累的经验，做好拍卖售后线下服务，补长网络拍卖中的短板，将能争取到更多的拍卖资源，重新占领失去了的拍卖市场，迎接新的拍卖春天</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default"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为何拍卖阵地频受挤压</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拍卖人辛辛苦苦做了几十年的拍卖，耕耘了几十年的拍卖阵地，居然轻而易举被局外人跨界打劫，众多拍卖企业一片茫然， 陷入围城之中。如司法拍卖标的几乎被某网拍平台囊括，公物拍卖被各地产权交易中心、公共资源交易平台瓜分，银行不良资产被国营及民营资产公司收购，拍卖公司能争取到的大都是操作难度大、成交的难度大的小而散的社会资源。虽然一些拍卖公司拿到了土地拍卖权，拍卖成绩单非常可观，但拿到的不是佣金，而是拍卖师出场的辛苦费。可以说拍卖行业受到了前所未有的挑战，拍卖企业生存空间被挤压得越来越小，拍卖之路越走越艰难。</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为什么坚守了几十年的拍卖阵地，一下子被局外人占领？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拍买，在局外人来看，进Ai'l槛低，技术含量低，无需资金投入，又无风险的大中介。育人称之为时“一块牌子，两张桌子，三个汉子，槌子一响，黄金干两“的买卖，更主要的是他们发现拍卖保证金及拍卖款资金量大．沉淀有个时间过程，嗅到了资本运作的商机。</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于是替代传统现场拍卖的网络平台应运而生。网络拍卖，足不出户，手指按按，在线竞价。与传统现场拍卖会相比，大大减轻人力、物力、财力，省时、省心、省劲。网络拍卖以其拍卖信息传播速度快、招商面广、竞拍简单方便的优势，被越来越多的社会人士认可。</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网络拍卖背后的薄弱环节</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但是网络拍卖红火的背后，也暴露出了致命的薄弱环节。网络'平台的运营商，提供的是交易平台，不提供拍卖的线下服务。拍卖标的提供方，既是标的委托人或权利人，又是拍卖人，身兼两个身份，很难提供周到的线下服务。拍卖环节中，没有第三方作为真正的拍卖人，服务环节已成为空白，竞拍人的后顾之忧已成为挡在他们参拍面前的障碍。不少司法拍卖及其他公物的拍卖须知上明确规定，拍卖的房产不清场、不交付，欠交税费不清，应交税费不详，能否过户不确定，设备自行搬移，车辆自行提取，产权过户自行办理，承租人问题自行协调。拍卖成交后的所有事宜所有责任均由买受人承担。好多竞买人担心拍卖成交后接手了“烫山芋”，这些障碍已成为他们的心头之患，竞拍积极性大打折扣。本来能成交的拍卖标的屡屡漏拍，下次再拍就得降价，降价也不一定能成交，这又严重损害了委托人的利益。</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黑体" w:hAnsi="黑体" w:eastAsia="黑体" w:cs="黑体"/>
          <w:sz w:val="28"/>
          <w:szCs w:val="28"/>
          <w:lang w:eastAsia="zh-CN"/>
        </w:rPr>
        <w:t>抓售后</w:t>
      </w:r>
      <w:r>
        <w:rPr>
          <w:rFonts w:hint="eastAsia" w:ascii="黑体" w:hAnsi="黑体" w:eastAsia="黑体" w:cs="黑体"/>
          <w:sz w:val="28"/>
          <w:szCs w:val="28"/>
          <w:lang w:val="en-US" w:eastAsia="zh-CN"/>
        </w:rPr>
        <w:t xml:space="preserve"> 补短板</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拍卖成交，仅完成了交易环节，售后服务才是工作重点。对于买受人而言，更多的工作是拍卖成交需要做的，最令他们心烦头疼，更需要第三方的后续服务。</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拍卖公司经过多年的拍卖实践，积累了丰富的拍卖售后服务经验，并有一支专业的业务骨干队伍，是为买受人提供售后服务的最佳团队。抓住这个薄弱环节，做好拍卖售后线下服务，补长网络拍卖中的短板，既满足了买受人的服务需求．又能满足委托人提高拍卖成交率的需求，将能争取到更多的拍卖资源，重新占领失去了的拍卖市场，迎接新的拍卖春天。</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拍卖的线下售后服务，是个复杂而又艰辛的工作，拍卖公司应牢固树立服务至上的宗旨，坚持服务是永恒不变的硬道理的原则，把向客户承诺的售后服务，一项一项落实到位，赢得客户信赖和满意。</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列好服务清单，充分了解竞买客户的需求。</w:t>
      </w:r>
      <w:r>
        <w:rPr>
          <w:rFonts w:hint="eastAsia" w:ascii="仿宋_GB2312" w:hAnsi="仿宋_GB2312" w:eastAsia="仿宋_GB2312" w:cs="仿宋_GB2312"/>
          <w:sz w:val="28"/>
          <w:szCs w:val="28"/>
          <w:lang w:eastAsia="zh-CN"/>
        </w:rPr>
        <w:t>如客户拍下的房子对外出租，要不要帮着介绍承租户7再转让出让的话，是否可介绍新的接手客户？客户交付拍卖成交款有资金缺口，是否可联系银行或其他融资机构？以及为有需要的客户提供房产过户代理服务等。</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算好产权过户明细账。</w:t>
      </w:r>
      <w:r>
        <w:rPr>
          <w:rFonts w:hint="eastAsia" w:ascii="仿宋_GB2312" w:hAnsi="仿宋_GB2312" w:eastAsia="仿宋_GB2312" w:cs="仿宋_GB2312"/>
          <w:sz w:val="28"/>
          <w:szCs w:val="28"/>
          <w:lang w:eastAsia="zh-CN"/>
        </w:rPr>
        <w:t>对于买二手房地产的客户，大都对房产．土地过户的流程，以及要交多少税，交多少费，心里没底。因此，拍卖公司的工作人员必须把握税费项目一一列出来，有的标的委托方的税费也要求买受人来承担．卖方的税费也需列出来，再到税务、不动产登记中心等部门预核。尤其是土地增值税累进制征收，更要预核出基本数。</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做好标的交付工作。</w:t>
      </w:r>
      <w:r>
        <w:rPr>
          <w:rFonts w:hint="eastAsia" w:ascii="仿宋_GB2312" w:hAnsi="仿宋_GB2312" w:eastAsia="仿宋_GB2312" w:cs="仿宋_GB2312"/>
          <w:sz w:val="28"/>
          <w:szCs w:val="28"/>
          <w:lang w:eastAsia="zh-CN"/>
        </w:rPr>
        <w:t>买受人付清了拍卖成交款，拿到的是一张‘拍卖成交确认书”，物权拿不到，无法让买受人拍得安心、放心。拍卖也仅完成了交易环节，拍卖公司应主动超前协调合同到期承租人赖着不走、原严权入无偿占有或不愿交付等实际问题，确保买受人顺利接手标的。</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协助做好产权变更过户工作。</w:t>
      </w:r>
      <w:r>
        <w:rPr>
          <w:rFonts w:hint="eastAsia" w:ascii="仿宋_GB2312" w:hAnsi="仿宋_GB2312" w:eastAsia="仿宋_GB2312" w:cs="仿宋_GB2312"/>
          <w:sz w:val="28"/>
          <w:szCs w:val="28"/>
          <w:lang w:eastAsia="zh-CN"/>
        </w:rPr>
        <w:t>这项工作涉及部门多，流程多，工作量大，是售后服务的重点。拍卖公司要有专人对接。事先告知买受人需要提供的各项材料，如买受人为单位的，需提供法人代表身份证，授权办理委托书、营业执照、公章等。</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通过拍卖公司拍卖售后一站式的优质服务，解决售后服务空白，使竞买人拍得顺心，买得放心。</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（作者单位：常州市武进拍卖有限公司）</w:t>
      </w:r>
    </w:p>
    <w:p>
      <w:pPr>
        <w:jc w:val="righ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（文章来源《中国拍卖》）</w:t>
      </w:r>
    </w:p>
    <w:p>
      <w:pPr>
        <w:jc w:val="center"/>
        <w:rPr>
          <w:rFonts w:hint="default" w:ascii="黑体" w:hAnsi="黑体" w:eastAsia="黑体" w:cs="黑体"/>
          <w:sz w:val="36"/>
          <w:szCs w:val="36"/>
          <w:lang w:val="en-US" w:eastAsia="zh-CN"/>
        </w:rPr>
      </w:pP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关于网络司法拍卖悔拍后保证金处置法律问题的探析</w:t>
      </w: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马　巍</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8"/>
          <w:szCs w:val="28"/>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textAlignment w:val="auto"/>
        <w:rPr>
          <w:rFonts w:hint="eastAsia" w:ascii="仿宋_GB2312" w:hAnsi="仿宋_GB2312" w:eastAsia="仿宋_GB2312" w:cs="仿宋_GB2312"/>
          <w:i w:val="0"/>
          <w:caps w:val="0"/>
          <w:color w:val="242424"/>
          <w:spacing w:val="0"/>
          <w:sz w:val="28"/>
          <w:szCs w:val="28"/>
        </w:rPr>
      </w:pPr>
      <w:r>
        <w:rPr>
          <w:rFonts w:hint="eastAsia" w:ascii="仿宋_GB2312" w:hAnsi="仿宋_GB2312" w:eastAsia="仿宋_GB2312" w:cs="仿宋_GB2312"/>
          <w:i w:val="0"/>
          <w:caps w:val="0"/>
          <w:color w:val="242424"/>
          <w:spacing w:val="0"/>
          <w:sz w:val="28"/>
          <w:szCs w:val="28"/>
          <w:shd w:val="clear" w:fill="FFFFFF"/>
        </w:rPr>
        <w:t>当前网络司法拍卖已成为人民法院处置涉案财产的首选方式，各地法院悔拍的数量不断增多，而对于悔拍的相关法律规定还不够明确，悔拍后保证金如何处置成为人民法院面临的普遍性问题。笔者梳理了悔拍后保证金处置面临的各类问题，并针对问题结合法律规定进行了探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560" w:firstLineChars="200"/>
        <w:textAlignment w:val="auto"/>
        <w:rPr>
          <w:rFonts w:hint="eastAsia" w:ascii="黑体" w:hAnsi="黑体" w:eastAsia="黑体" w:cs="黑体"/>
          <w:i w:val="0"/>
          <w:caps w:val="0"/>
          <w:color w:val="242424"/>
          <w:spacing w:val="0"/>
          <w:sz w:val="28"/>
          <w:szCs w:val="28"/>
        </w:rPr>
      </w:pPr>
      <w:r>
        <w:rPr>
          <w:rFonts w:hint="eastAsia" w:ascii="黑体" w:hAnsi="黑体" w:eastAsia="黑体" w:cs="黑体"/>
          <w:i w:val="0"/>
          <w:caps w:val="0"/>
          <w:color w:val="242424"/>
          <w:spacing w:val="0"/>
          <w:sz w:val="28"/>
          <w:szCs w:val="28"/>
          <w:shd w:val="clear" w:fill="FFFFFF"/>
        </w:rPr>
        <w:t>一、基本情况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560" w:firstLineChars="200"/>
        <w:textAlignment w:val="auto"/>
        <w:rPr>
          <w:rFonts w:hint="eastAsia" w:ascii="仿宋_GB2312" w:hAnsi="仿宋_GB2312" w:eastAsia="仿宋_GB2312" w:cs="仿宋_GB2312"/>
          <w:i w:val="0"/>
          <w:caps w:val="0"/>
          <w:color w:val="242424"/>
          <w:spacing w:val="0"/>
          <w:sz w:val="28"/>
          <w:szCs w:val="28"/>
        </w:rPr>
      </w:pPr>
      <w:r>
        <w:rPr>
          <w:rFonts w:hint="eastAsia" w:ascii="仿宋_GB2312" w:hAnsi="仿宋_GB2312" w:eastAsia="仿宋_GB2312" w:cs="仿宋_GB2312"/>
          <w:i w:val="0"/>
          <w:caps w:val="0"/>
          <w:color w:val="242424"/>
          <w:spacing w:val="0"/>
          <w:sz w:val="28"/>
          <w:szCs w:val="28"/>
          <w:shd w:val="clear" w:fill="FFFFFF"/>
        </w:rPr>
        <w:t>网络司法拍卖是人民法院在强制执行程序中处置涉案财产的重要措施，在帮助人民法院提高了财产处置效率的同时，也减少了当事人的执行成本，可谓是解决执行难的利器之一。自2014年起，网络司法拍卖逐渐成为全国各地法院处置被执行人财产的主要方式，各地法院在网络司法拍卖过程中都出现了一些悔拍现象，有的拍品保证金金额还比较大。以福建省为例，2014-2018年全省三级法院网络司法拍卖共发生悔拍632次，还有同一标的多次悔拍的情形，涉案标的包括房产、土地、股权、车辆等，保证金金额高达7748万余元。对于这些保证金如何处置成为人民法院面临的普遍问题，现行的关于悔拍后保证金如何处置的依据都是出自于最高人民法院的司法解释，分别是2005年1月1日施行的《最高人民法院关于人民法院民事执行中拍卖、变卖财产的规定》（下称“05拍卖规定”）第二十五条[《最高人民法院关于人民法院民事执行中拍卖、变卖财产的规定》第二十五条规定：拍卖成交或者以流拍的财产抵债后，买受人逾期未支付价款或者承受人逾期未补交差价而使拍卖、抵债的目的难以实现的，人民法院可以裁定重新拍卖。重新拍卖时，原买受人不得参加竞买。重新拍卖的价款低于原拍卖价款造成的差价、费用损失及原拍卖中的佣金，由原买受人承担。人民法院可以直接从其预交的保证金中扣除。扣除后保证金有剩余的，应当退还原买受人；保证金数额不足的，可以责令原买受人补交；拒不补交的，强制执行。]和于2017年1月1日施行的《最高人民法院关于人民法院网络司法拍卖若干问题的规定》（下称“17拍卖规定”）第二十四条[《最高人民法院关于人民法院网络司法拍卖若干问题的规定》第二十四条规定：拍卖成交后买受人悔拍的，交纳的保证金不予退还，依次用于支付拍卖产生的费用损失、弥补重新拍卖价款低于原拍卖价款的差价、冲抵本案被执行人的债务以及与拍卖财产相关的被执行人的债务。]。这两部司法解释对于悔拍后保证金是否予以退还、保证金不足以弥补重新拍卖后价款低于原拍卖价的差价是否需要补交、保证金罚没后如何处置、多次悔拍保证金处置等问题，在表述方式、规定内容方面有所不同，在实践中容易引发争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560" w:firstLineChars="200"/>
        <w:textAlignment w:val="auto"/>
        <w:rPr>
          <w:rFonts w:hint="eastAsia" w:ascii="黑体" w:hAnsi="黑体" w:eastAsia="黑体" w:cs="黑体"/>
          <w:i w:val="0"/>
          <w:caps w:val="0"/>
          <w:color w:val="242424"/>
          <w:spacing w:val="0"/>
          <w:sz w:val="28"/>
          <w:szCs w:val="28"/>
        </w:rPr>
      </w:pPr>
      <w:r>
        <w:rPr>
          <w:rFonts w:hint="eastAsia" w:ascii="黑体" w:hAnsi="黑体" w:eastAsia="黑体" w:cs="黑体"/>
          <w:i w:val="0"/>
          <w:caps w:val="0"/>
          <w:color w:val="242424"/>
          <w:spacing w:val="0"/>
          <w:sz w:val="28"/>
          <w:szCs w:val="28"/>
          <w:shd w:val="clear" w:fill="FFFFFF"/>
        </w:rPr>
        <w:t>二、存在的问题及分析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textAlignment w:val="auto"/>
        <w:rPr>
          <w:rFonts w:hint="eastAsia" w:ascii="仿宋_GB2312" w:hAnsi="仿宋_GB2312" w:eastAsia="仿宋_GB2312" w:cs="仿宋_GB2312"/>
          <w:i w:val="0"/>
          <w:caps w:val="0"/>
          <w:color w:val="242424"/>
          <w:spacing w:val="0"/>
          <w:sz w:val="28"/>
          <w:szCs w:val="28"/>
        </w:rPr>
      </w:pPr>
      <w:r>
        <w:rPr>
          <w:rFonts w:hint="eastAsia" w:ascii="仿宋_GB2312" w:hAnsi="仿宋_GB2312" w:eastAsia="仿宋_GB2312" w:cs="仿宋_GB2312"/>
          <w:i w:val="0"/>
          <w:caps w:val="0"/>
          <w:color w:val="242424"/>
          <w:spacing w:val="0"/>
          <w:sz w:val="28"/>
          <w:szCs w:val="28"/>
          <w:shd w:val="clear" w:fill="FFFFFF"/>
        </w:rPr>
        <w:t>（一）关于悔拍保证金是否予以退还的问题。“05拍卖规定”第二十五条规定明确了悔拍后保证金弥补重新拍卖的相关款项后仍有剩余的，应当退还买受人；“17拍卖规定”第二十四条规定明确了拍卖成交后买受人悔拍的，交纳的保证金不予退还。同时，该规定还在第三十八条明确了在“17拍卖规定”施行前最高人民法院公布的司法解释和规范性文件与该规定不一致的，以该规定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textAlignment w:val="auto"/>
        <w:rPr>
          <w:rFonts w:hint="eastAsia" w:ascii="仿宋_GB2312" w:hAnsi="仿宋_GB2312" w:eastAsia="仿宋_GB2312" w:cs="仿宋_GB2312"/>
          <w:i w:val="0"/>
          <w:caps w:val="0"/>
          <w:color w:val="242424"/>
          <w:spacing w:val="0"/>
          <w:sz w:val="28"/>
          <w:szCs w:val="28"/>
        </w:rPr>
      </w:pPr>
      <w:r>
        <w:rPr>
          <w:rFonts w:hint="eastAsia" w:ascii="仿宋_GB2312" w:hAnsi="仿宋_GB2312" w:eastAsia="仿宋_GB2312" w:cs="仿宋_GB2312"/>
          <w:i w:val="0"/>
          <w:caps w:val="0"/>
          <w:color w:val="242424"/>
          <w:spacing w:val="0"/>
          <w:sz w:val="28"/>
          <w:szCs w:val="28"/>
          <w:shd w:val="clear" w:fill="FFFFFF"/>
        </w:rPr>
        <w:t>《最高人民法院关于人民法院民事执行中拍卖、变卖财产的规定》第二十五条规定：拍卖成交或者以流拍的财产抵债后，买受人逾期未支付价款或者承受人逾期未补交差价而使拍卖、抵债的目的难以实现的，人民法院可以裁定重新拍卖。重新拍卖时，原买受人不得参加竞买。重新拍卖的价款低于原拍卖价款造成的差价、费用损失及原拍卖中的佣金，由原买受人承担。人民法院可以直接从其预交的保证金中扣除。扣除后保证金有剩余的，应当退还原买受人；保证金数额不足的，可以责令原买受人补交；拒不补交的，强制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textAlignment w:val="auto"/>
        <w:rPr>
          <w:rFonts w:hint="eastAsia" w:ascii="仿宋_GB2312" w:hAnsi="仿宋_GB2312" w:eastAsia="仿宋_GB2312" w:cs="仿宋_GB2312"/>
          <w:i w:val="0"/>
          <w:caps w:val="0"/>
          <w:color w:val="242424"/>
          <w:spacing w:val="0"/>
          <w:sz w:val="28"/>
          <w:szCs w:val="28"/>
        </w:rPr>
      </w:pPr>
      <w:r>
        <w:rPr>
          <w:rFonts w:hint="eastAsia" w:ascii="仿宋_GB2312" w:hAnsi="仿宋_GB2312" w:eastAsia="仿宋_GB2312" w:cs="仿宋_GB2312"/>
          <w:i w:val="0"/>
          <w:caps w:val="0"/>
          <w:color w:val="242424"/>
          <w:spacing w:val="0"/>
          <w:sz w:val="28"/>
          <w:szCs w:val="28"/>
          <w:shd w:val="clear" w:fill="FFFFFF"/>
        </w:rPr>
        <w:t>《最高人民法院关于人民法院网络司法拍卖若干问题的规定》第二十四条规定：拍卖成交后买受人悔拍的，交纳的保证金不予退还，依次用于支付拍卖产生的费用损失、弥补重新拍卖价款低于原拍卖价款的差价、冲抵本案被执行人的债务以及与拍卖财产相关的被执行人的债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textAlignment w:val="auto"/>
        <w:rPr>
          <w:rFonts w:hint="eastAsia" w:ascii="仿宋_GB2312" w:hAnsi="仿宋_GB2312" w:eastAsia="仿宋_GB2312" w:cs="仿宋_GB2312"/>
          <w:i w:val="0"/>
          <w:caps w:val="0"/>
          <w:color w:val="242424"/>
          <w:spacing w:val="0"/>
          <w:sz w:val="28"/>
          <w:szCs w:val="28"/>
        </w:rPr>
      </w:pPr>
      <w:r>
        <w:rPr>
          <w:rFonts w:hint="eastAsia" w:ascii="仿宋_GB2312" w:hAnsi="仿宋_GB2312" w:eastAsia="仿宋_GB2312" w:cs="仿宋_GB2312"/>
          <w:i w:val="0"/>
          <w:caps w:val="0"/>
          <w:color w:val="242424"/>
          <w:spacing w:val="0"/>
          <w:sz w:val="28"/>
          <w:szCs w:val="28"/>
          <w:shd w:val="clear" w:fill="FFFFFF"/>
        </w:rPr>
        <w:t>可以看出，就悔拍后保证金的是否退还买受人问题，“17拍卖规定”对“05拍卖规定”进行了修订，应当适用于“17拍卖规定”，无论悔拍后保证金是否可以弥补重新拍卖的相关价款，均不退还给买受人。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textAlignment w:val="auto"/>
        <w:rPr>
          <w:rFonts w:hint="eastAsia" w:ascii="仿宋_GB2312" w:hAnsi="仿宋_GB2312" w:eastAsia="仿宋_GB2312" w:cs="仿宋_GB2312"/>
          <w:i w:val="0"/>
          <w:caps w:val="0"/>
          <w:color w:val="242424"/>
          <w:spacing w:val="0"/>
          <w:sz w:val="28"/>
          <w:szCs w:val="28"/>
        </w:rPr>
      </w:pPr>
      <w:r>
        <w:rPr>
          <w:rFonts w:hint="eastAsia" w:ascii="仿宋_GB2312" w:hAnsi="仿宋_GB2312" w:eastAsia="仿宋_GB2312" w:cs="仿宋_GB2312"/>
          <w:i w:val="0"/>
          <w:caps w:val="0"/>
          <w:color w:val="242424"/>
          <w:spacing w:val="0"/>
          <w:sz w:val="28"/>
          <w:szCs w:val="28"/>
          <w:shd w:val="clear" w:fill="FFFFFF"/>
        </w:rPr>
        <w:t>（二）关于悔拍保证金不足以弥补重新拍卖价款低于原拍卖价款差价，买受人是否应当补交的问题。“05拍卖规定”第二十五条明确规定，当买受人在拍卖成交后悔拍且保证金数额不足以弥补重新拍卖价款低于原拍卖价款差价的，原买受人应当承担补交的责任。由于“17拍卖规定”中并未就前述问题进行规定，不属于“05拍卖规定”与“17拍卖规定”不一致的情形，因此“05拍卖规定”中补偿差价的规定仍然适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textAlignment w:val="auto"/>
        <w:rPr>
          <w:rFonts w:hint="eastAsia" w:ascii="仿宋_GB2312" w:hAnsi="仿宋_GB2312" w:eastAsia="仿宋_GB2312" w:cs="仿宋_GB2312"/>
          <w:i w:val="0"/>
          <w:caps w:val="0"/>
          <w:color w:val="242424"/>
          <w:spacing w:val="0"/>
          <w:sz w:val="28"/>
          <w:szCs w:val="28"/>
        </w:rPr>
      </w:pPr>
      <w:r>
        <w:rPr>
          <w:rFonts w:hint="eastAsia" w:ascii="仿宋_GB2312" w:hAnsi="仿宋_GB2312" w:eastAsia="仿宋_GB2312" w:cs="仿宋_GB2312"/>
          <w:i w:val="0"/>
          <w:caps w:val="0"/>
          <w:color w:val="242424"/>
          <w:spacing w:val="0"/>
          <w:sz w:val="28"/>
          <w:szCs w:val="28"/>
          <w:shd w:val="clear" w:fill="FFFFFF"/>
        </w:rPr>
        <w:t>（三）关于悔拍保证金罚没后的处置问题。“17拍卖规定”对罚没的悔拍保证金的用途进行了规定，依次用于支付拍卖产生的费用损失、弥补重新拍卖价款低于原拍卖价款的差价、冲抵本案被执行人的债务以及与拍卖财产相关的被执行人的债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textAlignment w:val="auto"/>
        <w:rPr>
          <w:rFonts w:hint="eastAsia" w:ascii="仿宋_GB2312" w:hAnsi="仿宋_GB2312" w:eastAsia="仿宋_GB2312" w:cs="仿宋_GB2312"/>
          <w:i w:val="0"/>
          <w:caps w:val="0"/>
          <w:color w:val="242424"/>
          <w:spacing w:val="0"/>
          <w:sz w:val="28"/>
          <w:szCs w:val="28"/>
        </w:rPr>
      </w:pPr>
      <w:r>
        <w:rPr>
          <w:rFonts w:hint="eastAsia" w:ascii="仿宋_GB2312" w:hAnsi="仿宋_GB2312" w:eastAsia="仿宋_GB2312" w:cs="仿宋_GB2312"/>
          <w:i w:val="0"/>
          <w:caps w:val="0"/>
          <w:color w:val="242424"/>
          <w:spacing w:val="0"/>
          <w:sz w:val="28"/>
          <w:szCs w:val="28"/>
          <w:shd w:val="clear" w:fill="FFFFFF"/>
        </w:rPr>
        <w:t>关于前述规定的依次用途，笔者理解应当具有先后之分的四个优先顺序，依次用于支付拍卖产生的费用损失、弥补重新拍卖价款低于原拍卖价款的差价、冲抵本案被执行人的债务、与拍卖财产相关的被执行人的债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textAlignment w:val="auto"/>
        <w:rPr>
          <w:rFonts w:hint="eastAsia" w:ascii="仿宋_GB2312" w:hAnsi="仿宋_GB2312" w:eastAsia="仿宋_GB2312" w:cs="仿宋_GB2312"/>
          <w:i w:val="0"/>
          <w:caps w:val="0"/>
          <w:color w:val="242424"/>
          <w:spacing w:val="0"/>
          <w:sz w:val="28"/>
          <w:szCs w:val="28"/>
        </w:rPr>
      </w:pPr>
      <w:r>
        <w:rPr>
          <w:rFonts w:hint="eastAsia" w:ascii="仿宋_GB2312" w:hAnsi="仿宋_GB2312" w:eastAsia="仿宋_GB2312" w:cs="仿宋_GB2312"/>
          <w:i w:val="0"/>
          <w:caps w:val="0"/>
          <w:color w:val="242424"/>
          <w:spacing w:val="0"/>
          <w:sz w:val="28"/>
          <w:szCs w:val="28"/>
          <w:shd w:val="clear" w:fill="FFFFFF"/>
        </w:rPr>
        <w:t>因目前网络司法拍卖并不发生成本费用，故悔拍保证金通常直接用于弥补第二顺位的重新拍卖价款低于原拍卖价款的差价，如果存在差价或弥补差价后仍有盈余，将会顺延至第三顺位。在这种情况下，保证金的处置顺位用途通常会有两种意见：（1）用于冲抵本案被执行人的债务，（2）同时用于冲抵本案被执行人的债务以及与拍卖财产相关的被执行人的债务，即性质属于与拍卖财产有关的执行案件的执行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textAlignment w:val="auto"/>
        <w:rPr>
          <w:rFonts w:hint="eastAsia" w:ascii="仿宋_GB2312" w:hAnsi="仿宋_GB2312" w:eastAsia="仿宋_GB2312" w:cs="仿宋_GB2312"/>
          <w:i w:val="0"/>
          <w:caps w:val="0"/>
          <w:color w:val="242424"/>
          <w:spacing w:val="0"/>
          <w:sz w:val="28"/>
          <w:szCs w:val="28"/>
        </w:rPr>
      </w:pPr>
      <w:r>
        <w:rPr>
          <w:rFonts w:hint="eastAsia" w:ascii="仿宋_GB2312" w:hAnsi="仿宋_GB2312" w:eastAsia="仿宋_GB2312" w:cs="仿宋_GB2312"/>
          <w:i w:val="0"/>
          <w:caps w:val="0"/>
          <w:color w:val="242424"/>
          <w:spacing w:val="0"/>
          <w:sz w:val="28"/>
          <w:szCs w:val="28"/>
          <w:shd w:val="clear" w:fill="FFFFFF"/>
        </w:rPr>
        <w:t>两种意见的分歧在于用于“本案被执行人的债务”和“与拍卖财产有关的执行案件的执行款”是否存在优先顺序。前述分歧主要来自于对规定中两者中间的“以及”的不同理解。相较而言，笔者更倾向于同意第（1）种意见，“17拍卖规定”第二十四条之所以这样表述，应当是有意区分两者优先顺序，因后者“与拍卖财产有关的执行案件的执行款”已包含了前者“本案被执行人的债务”，如果规定本意在于表达“与拍卖财产有关的执行案件的执行款”的案件具有相同的受偿权，则无必要将前者表述“本案被执行人的债务”置于规定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textAlignment w:val="auto"/>
        <w:rPr>
          <w:rFonts w:hint="eastAsia" w:ascii="仿宋_GB2312" w:hAnsi="仿宋_GB2312" w:eastAsia="仿宋_GB2312" w:cs="仿宋_GB2312"/>
          <w:i w:val="0"/>
          <w:caps w:val="0"/>
          <w:color w:val="242424"/>
          <w:spacing w:val="0"/>
          <w:sz w:val="28"/>
          <w:szCs w:val="28"/>
        </w:rPr>
      </w:pPr>
      <w:r>
        <w:rPr>
          <w:rFonts w:hint="eastAsia" w:ascii="仿宋_GB2312" w:hAnsi="仿宋_GB2312" w:eastAsia="仿宋_GB2312" w:cs="仿宋_GB2312"/>
          <w:i w:val="0"/>
          <w:caps w:val="0"/>
          <w:color w:val="242424"/>
          <w:spacing w:val="0"/>
          <w:sz w:val="28"/>
          <w:szCs w:val="28"/>
          <w:shd w:val="clear" w:fill="FFFFFF"/>
        </w:rPr>
        <w:t>（四）关于单次、多次悔拍保证金的处置问题。1、同一财产拍卖中出现单次悔拍。就单次悔拍而言，保证金的处置应当结合两个司法解释进行处理，如果重新拍卖价款低于原拍卖价款，则差价应当由悔拍买受人承担，在保证金不足以支付差价的情况下，仍由悔拍买受人承担补足的责任。2、在同一财产拍卖中出现多次悔拍。就在同一财产拍卖中出现多次悔拍情况，保证金的处置问题显得相对复杂一些，这里以一个案例来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560" w:firstLineChars="200"/>
        <w:textAlignment w:val="auto"/>
        <w:rPr>
          <w:rFonts w:hint="eastAsia" w:ascii="仿宋_GB2312" w:hAnsi="仿宋_GB2312" w:eastAsia="仿宋_GB2312" w:cs="仿宋_GB2312"/>
          <w:i w:val="0"/>
          <w:caps w:val="0"/>
          <w:color w:val="242424"/>
          <w:spacing w:val="0"/>
          <w:sz w:val="28"/>
          <w:szCs w:val="28"/>
        </w:rPr>
      </w:pPr>
      <w:r>
        <w:rPr>
          <w:rFonts w:hint="eastAsia" w:ascii="仿宋_GB2312" w:hAnsi="仿宋_GB2312" w:eastAsia="仿宋_GB2312" w:cs="仿宋_GB2312"/>
          <w:i w:val="0"/>
          <w:caps w:val="0"/>
          <w:color w:val="242424"/>
          <w:spacing w:val="0"/>
          <w:sz w:val="28"/>
          <w:szCs w:val="28"/>
          <w:shd w:val="clear" w:fill="FFFFFF"/>
        </w:rPr>
        <w:t>某执行财产经过两次悔拍后在第三次拍卖成交，A在第一次拍卖中以3400万元成交后悔拍，B在第二次拍卖中以2700万元成交后悔拍，C在第三次拍卖中以2500万元成交后并付款。我们需要研究的是法院在分别裁定罚没A、B各180万元保证金后的处置问题。依据“05拍卖规定”和“17拍卖规定”，应当对两笔保证金分别作出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560" w:firstLineChars="200"/>
        <w:textAlignment w:val="auto"/>
        <w:rPr>
          <w:rFonts w:hint="eastAsia" w:ascii="仿宋_GB2312" w:hAnsi="仿宋_GB2312" w:eastAsia="仿宋_GB2312" w:cs="仿宋_GB2312"/>
          <w:i w:val="0"/>
          <w:caps w:val="0"/>
          <w:color w:val="242424"/>
          <w:spacing w:val="0"/>
          <w:sz w:val="28"/>
          <w:szCs w:val="28"/>
        </w:rPr>
      </w:pPr>
      <w:r>
        <w:rPr>
          <w:rFonts w:hint="eastAsia" w:ascii="仿宋_GB2312" w:hAnsi="仿宋_GB2312" w:eastAsia="仿宋_GB2312" w:cs="仿宋_GB2312"/>
          <w:i w:val="0"/>
          <w:caps w:val="0"/>
          <w:color w:val="242424"/>
          <w:spacing w:val="0"/>
          <w:sz w:val="28"/>
          <w:szCs w:val="28"/>
          <w:shd w:val="clear" w:fill="FFFFFF"/>
        </w:rPr>
        <w:t>就A的保证金180万元而言，应当依次用于第二次拍卖（重新拍卖）的的费用损失、弥补重新拍卖价款低于原拍卖价款的差价、冲抵本案被执行人的债务以及与拍卖财产相关的被执行人的债务。假设第二次拍卖未产生费用损失，第二次拍卖成交价虽与第一次拍卖成交价的差价有700万元之多，但因B的悔拍最终并未实际履行，那么在该种情况下，A是否要对这700万元的拍卖差价承担补足责任呢？笔者认为，如果重新拍卖虽成交但未能实际收到拍卖价款，法院处置财产的目的并未成就，依据最高人民法院的两个关于拍卖的司法解释，弥补差价的应当是以重新拍卖成交后顺利履行交割为前提。因此，A的保证金无需用于弥补支付第二次拍卖成交价与第一次拍卖成交价的差价。那么，对于A的保证金应当分配至第三顺位，即用于支付本案被执行人的债务。支付本案被执行人债务后，如果仍有盈余应分配至第四顺位，用于支付与拍卖财产相关的被执行人的债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560" w:firstLineChars="200"/>
        <w:textAlignment w:val="auto"/>
        <w:rPr>
          <w:rFonts w:hint="eastAsia" w:ascii="仿宋_GB2312" w:hAnsi="仿宋_GB2312" w:eastAsia="仿宋_GB2312" w:cs="仿宋_GB2312"/>
          <w:i w:val="0"/>
          <w:caps w:val="0"/>
          <w:color w:val="242424"/>
          <w:spacing w:val="0"/>
          <w:sz w:val="28"/>
          <w:szCs w:val="28"/>
        </w:rPr>
      </w:pPr>
      <w:r>
        <w:rPr>
          <w:rFonts w:hint="eastAsia" w:ascii="仿宋_GB2312" w:hAnsi="仿宋_GB2312" w:eastAsia="仿宋_GB2312" w:cs="仿宋_GB2312"/>
          <w:i w:val="0"/>
          <w:caps w:val="0"/>
          <w:color w:val="242424"/>
          <w:spacing w:val="0"/>
          <w:sz w:val="28"/>
          <w:szCs w:val="28"/>
          <w:shd w:val="clear" w:fill="FFFFFF"/>
        </w:rPr>
        <w:t>就B的保证金180万元而言，应当用于弥补第三次拍卖成交价与第二次拍卖成交价的差价100万元（2700万元-2600万元），剩余80万元应当分配至第三顺位，用于支付本案被执行人的债务，支付本案被执行人债务后，仍有盈余，则应分配至到第四顺位，用于支付与拍卖财产相关的被执行人的债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560" w:firstLineChars="200"/>
        <w:textAlignment w:val="auto"/>
        <w:rPr>
          <w:rFonts w:hint="eastAsia" w:ascii="黑体" w:hAnsi="黑体" w:eastAsia="黑体" w:cs="黑体"/>
          <w:i w:val="0"/>
          <w:caps w:val="0"/>
          <w:color w:val="242424"/>
          <w:spacing w:val="0"/>
          <w:sz w:val="28"/>
          <w:szCs w:val="28"/>
        </w:rPr>
      </w:pPr>
      <w:r>
        <w:rPr>
          <w:rFonts w:hint="eastAsia" w:ascii="黑体" w:hAnsi="黑体" w:eastAsia="黑体" w:cs="黑体"/>
          <w:i w:val="0"/>
          <w:caps w:val="0"/>
          <w:color w:val="242424"/>
          <w:spacing w:val="0"/>
          <w:sz w:val="28"/>
          <w:szCs w:val="28"/>
          <w:shd w:val="clear" w:fill="FFFFFF"/>
        </w:rPr>
        <w:t>三、结语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560" w:firstLineChars="200"/>
        <w:textAlignment w:val="auto"/>
        <w:rPr>
          <w:rFonts w:hint="eastAsia" w:ascii="仿宋_GB2312" w:hAnsi="仿宋_GB2312" w:eastAsia="仿宋_GB2312" w:cs="仿宋_GB2312"/>
          <w:i w:val="0"/>
          <w:caps w:val="0"/>
          <w:color w:val="242424"/>
          <w:spacing w:val="0"/>
          <w:sz w:val="28"/>
          <w:szCs w:val="28"/>
        </w:rPr>
      </w:pPr>
      <w:r>
        <w:rPr>
          <w:rFonts w:hint="eastAsia" w:ascii="仿宋_GB2312" w:hAnsi="仿宋_GB2312" w:eastAsia="仿宋_GB2312" w:cs="仿宋_GB2312"/>
          <w:i w:val="0"/>
          <w:caps w:val="0"/>
          <w:color w:val="242424"/>
          <w:spacing w:val="0"/>
          <w:sz w:val="28"/>
          <w:szCs w:val="28"/>
          <w:shd w:val="clear" w:fill="FFFFFF"/>
        </w:rPr>
        <w:t>我国互联网发展日新月异，网络司法拍卖已成为人民法院、当事人处置被执行人财产的最主要方式，而目前最高人民法院颁布的两个关于司法拍卖司法解释对于在网络司法拍卖过程中因悔拍产生的新问题并未进行详细的规定，在实践中出现悔拍后保证金的处置就出现了争议，笔者建议最高法院以规范性法律文件对此进行明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840" w:firstLineChars="300"/>
        <w:jc w:val="both"/>
        <w:textAlignment w:val="auto"/>
        <w:rPr>
          <w:rFonts w:hint="eastAsia" w:ascii="仿宋_GB2312" w:hAnsi="仿宋_GB2312" w:eastAsia="仿宋_GB2312" w:cs="仿宋_GB2312"/>
          <w:i w:val="0"/>
          <w:caps w:val="0"/>
          <w:color w:val="242424"/>
          <w:spacing w:val="0"/>
          <w:sz w:val="28"/>
          <w:szCs w:val="28"/>
          <w:shd w:val="clear" w:fill="FFFFFF"/>
          <w:lang w:eastAsia="zh-CN"/>
        </w:rPr>
      </w:pPr>
      <w:r>
        <w:rPr>
          <w:rFonts w:hint="eastAsia" w:ascii="仿宋_GB2312" w:hAnsi="仿宋_GB2312" w:eastAsia="仿宋_GB2312" w:cs="仿宋_GB2312"/>
          <w:i w:val="0"/>
          <w:caps w:val="0"/>
          <w:color w:val="242424"/>
          <w:spacing w:val="0"/>
          <w:sz w:val="28"/>
          <w:szCs w:val="28"/>
          <w:shd w:val="clear" w:fill="FFFFFF"/>
          <w:lang w:eastAsia="zh-CN"/>
        </w:rPr>
        <w:t>（</w:t>
      </w:r>
      <w:r>
        <w:rPr>
          <w:rFonts w:hint="eastAsia" w:ascii="仿宋_GB2312" w:hAnsi="仿宋_GB2312" w:eastAsia="仿宋_GB2312" w:cs="仿宋_GB2312"/>
          <w:i w:val="0"/>
          <w:caps w:val="0"/>
          <w:color w:val="242424"/>
          <w:spacing w:val="0"/>
          <w:sz w:val="28"/>
          <w:szCs w:val="28"/>
          <w:shd w:val="clear" w:fill="FFFFFF"/>
        </w:rPr>
        <w:t>作者单位：福建省高级人民法院执行局</w:t>
      </w:r>
      <w:r>
        <w:rPr>
          <w:rFonts w:hint="eastAsia" w:ascii="仿宋_GB2312" w:hAnsi="仿宋_GB2312" w:eastAsia="仿宋_GB2312" w:cs="仿宋_GB2312"/>
          <w:i w:val="0"/>
          <w:caps w:val="0"/>
          <w:color w:val="242424"/>
          <w:spacing w:val="0"/>
          <w:sz w:val="28"/>
          <w:szCs w:val="28"/>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right"/>
        <w:textAlignment w:val="auto"/>
        <w:rPr>
          <w:rFonts w:hint="eastAsia" w:ascii="仿宋_GB2312" w:hAnsi="仿宋_GB2312" w:eastAsia="仿宋_GB2312" w:cs="仿宋_GB2312"/>
          <w:i w:val="0"/>
          <w:caps w:val="0"/>
          <w:color w:val="242424"/>
          <w:spacing w:val="0"/>
          <w:sz w:val="28"/>
          <w:szCs w:val="28"/>
        </w:rPr>
      </w:pPr>
      <w:r>
        <w:rPr>
          <w:rFonts w:hint="eastAsia" w:ascii="仿宋_GB2312" w:hAnsi="仿宋_GB2312" w:eastAsia="仿宋_GB2312" w:cs="仿宋_GB2312"/>
          <w:i w:val="0"/>
          <w:caps w:val="0"/>
          <w:color w:val="242424"/>
          <w:spacing w:val="0"/>
          <w:sz w:val="28"/>
          <w:szCs w:val="28"/>
          <w:shd w:val="clear" w:fill="FFFFFF"/>
        </w:rPr>
        <w:t>（</w:t>
      </w:r>
      <w:r>
        <w:rPr>
          <w:rFonts w:hint="eastAsia" w:ascii="仿宋_GB2312" w:hAnsi="仿宋_GB2312" w:eastAsia="仿宋_GB2312" w:cs="仿宋_GB2312"/>
          <w:i w:val="0"/>
          <w:caps w:val="0"/>
          <w:color w:val="242424"/>
          <w:spacing w:val="0"/>
          <w:sz w:val="28"/>
          <w:szCs w:val="28"/>
          <w:shd w:val="clear" w:fill="FFFFFF"/>
          <w:lang w:val="en-US" w:eastAsia="zh-CN"/>
        </w:rPr>
        <w:t xml:space="preserve"> 文章来源：《广东拍卖业》） </w:t>
      </w:r>
    </w:p>
    <w:p>
      <w:pPr>
        <w:rPr>
          <w:rFonts w:hint="eastAsia" w:asciiTheme="minorEastAsia" w:hAnsiTheme="minorEastAsia" w:eastAsiaTheme="minorEastAsia" w:cstheme="minorEastAsia"/>
          <w:b/>
          <w:bCs/>
          <w:sz w:val="30"/>
          <w:szCs w:val="30"/>
          <w:lang w:val="en-US" w:eastAsia="zh-CN"/>
        </w:rPr>
      </w:pPr>
    </w:p>
    <w:p>
      <w:pPr>
        <w:jc w:val="right"/>
        <w:rPr>
          <w:rFonts w:hint="eastAsia" w:ascii="仿宋_GB2312" w:hAnsi="仿宋_GB2312" w:eastAsia="仿宋_GB2312" w:cs="仿宋_GB2312"/>
          <w:b w:val="0"/>
          <w:bCs w:val="0"/>
          <w:sz w:val="28"/>
          <w:szCs w:val="28"/>
          <w:lang w:val="en-US" w:eastAsia="zh-CN"/>
        </w:rPr>
      </w:pPr>
    </w:p>
    <w:p>
      <w:pPr>
        <w:rPr>
          <w:rFonts w:hint="eastAsia" w:asciiTheme="minorEastAsia" w:hAnsiTheme="minorEastAsia" w:eastAsiaTheme="minorEastAsia" w:cstheme="minorEastAsia"/>
          <w:b/>
          <w:bCs/>
          <w:sz w:val="30"/>
          <w:szCs w:val="30"/>
          <w:bdr w:val="single" w:sz="4" w:space="0"/>
          <w:lang w:val="en-US" w:eastAsia="zh-CN"/>
        </w:rPr>
      </w:pPr>
      <w:r>
        <w:rPr>
          <w:rFonts w:hint="eastAsia" w:asciiTheme="minorEastAsia" w:hAnsiTheme="minorEastAsia" w:eastAsiaTheme="minorEastAsia" w:cstheme="minorEastAsia"/>
          <w:b/>
          <w:bCs/>
          <w:sz w:val="30"/>
          <w:szCs w:val="30"/>
          <w:bdr w:val="single" w:sz="4" w:space="0"/>
          <w:lang w:val="en-US" w:eastAsia="zh-CN"/>
        </w:rPr>
        <w:t>通讯员来稿</w:t>
      </w:r>
    </w:p>
    <w:p>
      <w:pPr>
        <w:rPr>
          <w:rFonts w:hint="eastAsia" w:ascii="仿宋_GB2312" w:hAnsi="宋体" w:eastAsia="仿宋_GB2312" w:cs="宋体"/>
          <w:sz w:val="24"/>
          <w:szCs w:val="24"/>
          <w:lang w:val="en-US" w:eastAsia="zh-CN"/>
        </w:rPr>
      </w:pPr>
    </w:p>
    <w:p>
      <w:pPr>
        <w:jc w:val="center"/>
        <w:rPr>
          <w:rFonts w:hint="eastAsia" w:ascii="黑体" w:hAnsi="黑体" w:eastAsia="黑体" w:cs="黑体"/>
          <w:sz w:val="36"/>
          <w:szCs w:val="36"/>
        </w:rPr>
      </w:pPr>
      <w:r>
        <w:rPr>
          <w:rFonts w:hint="eastAsia" w:ascii="黑体" w:hAnsi="黑体" w:eastAsia="黑体" w:cs="黑体"/>
          <w:sz w:val="36"/>
          <w:szCs w:val="36"/>
        </w:rPr>
        <w:t>正槌公司组织员工赴迪拜</w:t>
      </w:r>
      <w:r>
        <w:rPr>
          <w:rFonts w:hint="eastAsia" w:ascii="黑体" w:hAnsi="黑体" w:eastAsia="黑体" w:cs="黑体"/>
          <w:sz w:val="36"/>
          <w:szCs w:val="36"/>
          <w:lang w:eastAsia="zh-CN"/>
        </w:rPr>
        <w:t>考察</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广西正槌拍卖有限责任公司 郑欣 李璐</w:t>
      </w:r>
    </w:p>
    <w:p>
      <w:pPr>
        <w:rPr>
          <w:rFonts w:hint="eastAsia" w:ascii="仿宋_GB2312" w:hAnsi="仿宋_GB2312" w:eastAsia="仿宋_GB2312" w:cs="仿宋_GB2312"/>
          <w:color w:val="333333"/>
          <w:kern w:val="0"/>
          <w:sz w:val="28"/>
          <w:szCs w:val="28"/>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2019年3月22日，广西正槌拍卖有限责任公司组织员工前往中东的金融中心--迪拜和阿布扎比两个都市</w:t>
      </w:r>
      <w:r>
        <w:rPr>
          <w:rFonts w:hint="eastAsia" w:ascii="仿宋_GB2312" w:hAnsi="仿宋_GB2312" w:eastAsia="仿宋_GB2312" w:cs="仿宋_GB2312"/>
          <w:b w:val="0"/>
          <w:bCs w:val="0"/>
          <w:color w:val="auto"/>
          <w:sz w:val="28"/>
          <w:szCs w:val="28"/>
          <w:lang w:eastAsia="zh-CN"/>
        </w:rPr>
        <w:t>考察</w:t>
      </w:r>
      <w:r>
        <w:rPr>
          <w:rFonts w:hint="eastAsia" w:ascii="仿宋_GB2312" w:hAnsi="仿宋_GB2312" w:eastAsia="仿宋_GB2312" w:cs="仿宋_GB2312"/>
          <w:b w:val="0"/>
          <w:bCs w:val="0"/>
          <w:color w:val="auto"/>
          <w:sz w:val="28"/>
          <w:szCs w:val="28"/>
        </w:rPr>
        <w:t>，切身感受</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"https://baike.so.com/doc/5645896-5858531.html" \t "https://baike.so.com/doc/_blank"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b w:val="0"/>
          <w:bCs w:val="0"/>
          <w:color w:val="auto"/>
          <w:sz w:val="28"/>
          <w:szCs w:val="28"/>
        </w:rPr>
        <w:t>阿拉伯文化</w:t>
      </w:r>
      <w:r>
        <w:rPr>
          <w:rFonts w:hint="eastAsia" w:ascii="仿宋_GB2312" w:hAnsi="仿宋_GB2312" w:eastAsia="仿宋_GB2312" w:cs="仿宋_GB2312"/>
          <w:b w:val="0"/>
          <w:bCs w:val="0"/>
          <w:color w:val="auto"/>
          <w:sz w:val="28"/>
          <w:szCs w:val="28"/>
        </w:rPr>
        <w:fldChar w:fldCharType="end"/>
      </w:r>
      <w:r>
        <w:rPr>
          <w:rFonts w:hint="eastAsia" w:ascii="仿宋_GB2312" w:hAnsi="仿宋_GB2312" w:eastAsia="仿宋_GB2312" w:cs="仿宋_GB2312"/>
          <w:b w:val="0"/>
          <w:bCs w:val="0"/>
          <w:color w:val="auto"/>
          <w:sz w:val="28"/>
          <w:szCs w:val="28"/>
        </w:rPr>
        <w:t>的别样魅力。</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迪拜是世界上现代化程度最高的城市之一，同时也是重要的物流、贸易、交通运输、游游和购物中心。高耸入云的摩天大楼、碧波荡漾的海岸线，浩瀚壮美的大漠风光，神秘激情的异域风情，金光闪闪的八星级酋长皇宫酒店给员工们带来了视觉的震撼。特别是座落在沙滩上的八星级帆船酒店，外形酷似帆船，共有56层、321米高、顶端还有悬臂梁结构的停机坪，室内金碧辉煌奢华无比，至今仍然是迪拜的标志性建筑。</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随着参观考察的深入，员工们进一步了解了迪拜的发展史：1980年之前，迪拜以</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"https://baike.baidu.com/item/%E7%9F%B3%E6%B2%B9/322780" \t "https://baike.baidu.com/item/%E8%BF%AA%E6%8B%9C/_blank"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kern w:val="0"/>
          <w:sz w:val="28"/>
          <w:szCs w:val="28"/>
        </w:rPr>
        <w:t>石油</w:t>
      </w:r>
      <w:r>
        <w:rPr>
          <w:rFonts w:hint="eastAsia" w:ascii="仿宋_GB2312" w:hAnsi="仿宋_GB2312" w:eastAsia="仿宋_GB2312" w:cs="仿宋_GB2312"/>
          <w:color w:val="auto"/>
          <w:kern w:val="0"/>
          <w:sz w:val="28"/>
          <w:szCs w:val="28"/>
        </w:rPr>
        <w:fldChar w:fldCharType="end"/>
      </w:r>
      <w:r>
        <w:rPr>
          <w:rFonts w:hint="eastAsia" w:ascii="仿宋_GB2312" w:hAnsi="仿宋_GB2312" w:eastAsia="仿宋_GB2312" w:cs="仿宋_GB2312"/>
          <w:color w:val="auto"/>
          <w:kern w:val="0"/>
          <w:sz w:val="28"/>
          <w:szCs w:val="28"/>
        </w:rPr>
        <w:t>作为支柱产业，促进了早期的经济发展，凭借领导层奉行的经济多样化方针，迪拜在单一经济模式的中东抢先转型升级。如今，旅游、贸易等非石油产业已占迪拜国民生产总值的95%以上，迪拜摆脱了中东国家普遍的依赖石油发展之路，发展成为一个全球商务和旅游圣地。迪拜成功的经济转型之路引发公司领导层的关注，他山之石可以攻玉。同样，企业的发展离不开领导的高瞻远瞩与正确决策，抓住发展的机遇，公司上下齐心协力、锐意进取、辛勤工作才能换来丰收的硕果。</w:t>
      </w:r>
    </w:p>
    <w:p>
      <w:pPr>
        <w:pStyle w:val="9"/>
        <w:keepNext w:val="0"/>
        <w:keepLines w:val="0"/>
        <w:pageBreakBefore w:val="0"/>
        <w:kinsoku/>
        <w:wordWrap/>
        <w:overflowPunct/>
        <w:topLinePunct w:val="0"/>
        <w:autoSpaceDE/>
        <w:autoSpaceDN/>
        <w:bidi w:val="0"/>
        <w:adjustRightInd/>
        <w:snapToGrid/>
        <w:spacing w:line="440" w:lineRule="exact"/>
        <w:ind w:firstLine="48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正槌公司此次组织员工赴迪拜参观考察，体现领导了对员工的关爱，工作张驰有度，放松精神，整理心情，以更好的心态面对接下来的工作。同时，组织集体活动可以增进员工感情和凝聚力，培养员工同舟共济、齐心协力的精神。此外，境外学习考察开拓了视野，提高了员工的思维层次，回国后将更好的促进自身工作，处理公司业务更加游刃有余，为公司创造更高的价值。</w:t>
      </w:r>
    </w:p>
    <w:p>
      <w:pPr>
        <w:pStyle w:val="9"/>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kern w:val="0"/>
          <w:sz w:val="28"/>
          <w:szCs w:val="28"/>
        </w:rPr>
      </w:pPr>
    </w:p>
    <w:p>
      <w:pPr>
        <w:pStyle w:val="9"/>
        <w:keepNext w:val="0"/>
        <w:keepLines w:val="0"/>
        <w:pageBreakBefore w:val="0"/>
        <w:kinsoku/>
        <w:wordWrap/>
        <w:overflowPunct/>
        <w:topLinePunct w:val="0"/>
        <w:autoSpaceDE/>
        <w:autoSpaceDN/>
        <w:bidi w:val="0"/>
        <w:adjustRightInd/>
        <w:snapToGrid/>
        <w:spacing w:line="440" w:lineRule="exact"/>
        <w:ind w:firstLine="480"/>
        <w:textAlignment w:val="auto"/>
        <w:rPr>
          <w:rFonts w:hint="eastAsia" w:ascii="仿宋_GB2312" w:hAnsi="仿宋_GB2312" w:eastAsia="仿宋_GB2312" w:cs="仿宋_GB2312"/>
          <w:color w:val="auto"/>
          <w:kern w:val="0"/>
          <w:sz w:val="28"/>
          <w:szCs w:val="28"/>
        </w:rPr>
      </w:pPr>
    </w:p>
    <w:p>
      <w:pPr>
        <w:pStyle w:val="9"/>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仿宋_GB2312" w:hAnsi="仿宋_GB2312" w:eastAsia="仿宋_GB2312" w:cs="仿宋_GB2312"/>
          <w:color w:val="auto"/>
          <w:kern w:val="0"/>
          <w:sz w:val="28"/>
          <w:szCs w:val="28"/>
          <w:lang w:val="en-US" w:eastAsia="zh-CN"/>
        </w:rPr>
      </w:pPr>
    </w:p>
    <w:p>
      <w:pPr>
        <w:pStyle w:val="9"/>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仿宋_GB2312" w:hAnsi="仿宋_GB2312" w:eastAsia="仿宋_GB2312" w:cs="仿宋_GB2312"/>
          <w:color w:val="auto"/>
          <w:kern w:val="0"/>
          <w:sz w:val="28"/>
          <w:szCs w:val="28"/>
          <w:lang w:val="en-US" w:eastAsia="zh-CN"/>
        </w:rPr>
      </w:pPr>
    </w:p>
    <w:p>
      <w:pPr>
        <w:pStyle w:val="9"/>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仿宋_GB2312" w:hAnsi="仿宋_GB2312" w:eastAsia="仿宋_GB2312" w:cs="仿宋_GB2312"/>
          <w:color w:val="auto"/>
          <w:kern w:val="0"/>
          <w:sz w:val="28"/>
          <w:szCs w:val="28"/>
          <w:lang w:val="en-US" w:eastAsia="zh-CN"/>
        </w:rPr>
      </w:pPr>
    </w:p>
    <w:p>
      <w:pPr>
        <w:pStyle w:val="9"/>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仿宋_GB2312" w:hAnsi="仿宋_GB2312" w:eastAsia="仿宋_GB2312" w:cs="仿宋_GB2312"/>
          <w:color w:val="auto"/>
          <w:kern w:val="0"/>
          <w:sz w:val="28"/>
          <w:szCs w:val="28"/>
          <w:lang w:val="en-US" w:eastAsia="zh-CN"/>
        </w:rPr>
      </w:pPr>
    </w:p>
    <w:p>
      <w:pPr>
        <w:pStyle w:val="9"/>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仿宋_GB2312" w:hAnsi="仿宋_GB2312" w:eastAsia="仿宋_GB2312" w:cs="仿宋_GB2312"/>
          <w:color w:val="auto"/>
          <w:kern w:val="0"/>
          <w:sz w:val="28"/>
          <w:szCs w:val="28"/>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center"/>
        <w:textAlignment w:val="auto"/>
        <w:rPr>
          <w:rFonts w:hint="eastAsia" w:ascii="仿宋_GB2312" w:hAnsi="仿宋_GB2312" w:eastAsia="仿宋_GB2312" w:cs="仿宋_GB2312"/>
          <w:i w:val="0"/>
          <w:caps w:val="0"/>
          <w:color w:val="auto"/>
          <w:spacing w:val="0"/>
          <w:sz w:val="28"/>
          <w:szCs w:val="28"/>
        </w:rPr>
      </w:pPr>
      <w:r>
        <w:rPr>
          <w:rFonts w:hint="eastAsia" w:ascii="黑体" w:hAnsi="黑体" w:eastAsia="黑体" w:cs="黑体"/>
          <w:i w:val="0"/>
          <w:caps w:val="0"/>
          <w:color w:val="auto"/>
          <w:spacing w:val="0"/>
          <w:sz w:val="36"/>
          <w:szCs w:val="36"/>
        </w:rPr>
        <w:t>正槌员工端午节送温暖</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center"/>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rPr>
        <w:t>广西正槌拍卖有限责任公司 李璐</w:t>
      </w:r>
    </w:p>
    <w:p>
      <w:pPr>
        <w:pStyle w:val="9"/>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auto"/>
        <w:rPr>
          <w:rFonts w:hint="eastAsia" w:ascii="仿宋_GB2312" w:hAnsi="仿宋_GB2312" w:eastAsia="仿宋_GB2312" w:cs="仿宋_GB2312"/>
          <w:color w:val="auto"/>
          <w:kern w:val="0"/>
          <w:sz w:val="28"/>
          <w:szCs w:val="28"/>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560" w:firstLineChars="200"/>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rPr>
        <w:t>2019年6月6日,为传承我国传统文化，广西正槌拍卖有限责任公司党支部响应嘉宾社区党委的号召，组织党员、入党积极分子和志愿者开展主题为“端午棕香飘 缕缕暖人心”走访慰问活动，看望社区老党员、生病党员、空巢老人，给老人们送去浓浓的节日祝福。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560" w:firstLineChars="200"/>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rPr>
        <w:t>活动中，正槌公司党员志愿者为老人带来了粽子、米、油等价值0.5万元的慰问品一批，分组探望老党员。正槌志愿者与老人们促膝谈心，陪各位老人一起吃粽子，共度浓情端午。老人张奶奶拉着志愿者的手激动地说道：“你们来到我家，心里感觉很温暖，我会有一个幸福的晚年。”</w:t>
      </w:r>
    </w:p>
    <w:p>
      <w:pPr>
        <w:pStyle w:val="9"/>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i w:val="0"/>
          <w:caps w:val="0"/>
          <w:color w:val="auto"/>
          <w:spacing w:val="0"/>
          <w:sz w:val="28"/>
          <w:szCs w:val="28"/>
        </w:rPr>
        <w:t>此次活动的开展，不仅让老人感受到了浓浓的传统节日氛围及正槌公司的关爱和温暖，弘扬了中华民族尊老敬老的传统美德，同时也提升了正槌党支部在社区的影响力和凝聚力。</w:t>
      </w:r>
    </w:p>
    <w:sectPr>
      <w:footerReference r:id="rId3" w:type="default"/>
      <w:pgSz w:w="10431" w:h="14740"/>
      <w:pgMar w:top="1440" w:right="1009" w:bottom="873" w:left="1009" w:header="851" w:footer="709"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新魏">
    <w:panose1 w:val="02010800040101010101"/>
    <w:charset w:val="86"/>
    <w:family w:val="auto"/>
    <w:pitch w:val="default"/>
    <w:sig w:usb0="00000001" w:usb1="080F0000" w:usb2="00000000" w:usb3="00000000" w:csb0="00040000" w:csb1="00000000"/>
  </w:font>
  <w:font w:name="汉鼎简魏碑">
    <w:altName w:val="宋体"/>
    <w:panose1 w:val="0201060900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Style w:val="8"/>
                              <w:rFonts w:hint="eastAsia"/>
                            </w:rPr>
                            <w:t>—</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Style w:val="8"/>
                              <w:rFonts w:hint="eastAsi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Style w:val="8"/>
                        <w:rFonts w:hint="eastAsia"/>
                      </w:rPr>
                      <w:t>—</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Style w:val="8"/>
                        <w:rFonts w:hint="eastAsia"/>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4ACBBC"/>
    <w:multiLevelType w:val="singleLevel"/>
    <w:tmpl w:val="F14ACBB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C07505"/>
    <w:rsid w:val="009136A3"/>
    <w:rsid w:val="00CB4C60"/>
    <w:rsid w:val="00E566DD"/>
    <w:rsid w:val="00F3749D"/>
    <w:rsid w:val="03196E62"/>
    <w:rsid w:val="038354FE"/>
    <w:rsid w:val="04862C49"/>
    <w:rsid w:val="0595236A"/>
    <w:rsid w:val="06AA0A3B"/>
    <w:rsid w:val="06AE3193"/>
    <w:rsid w:val="08EE45C1"/>
    <w:rsid w:val="08F01CF0"/>
    <w:rsid w:val="095832D4"/>
    <w:rsid w:val="096134AB"/>
    <w:rsid w:val="09824345"/>
    <w:rsid w:val="098C48D6"/>
    <w:rsid w:val="0A1A1035"/>
    <w:rsid w:val="0AD24CF8"/>
    <w:rsid w:val="0BC63968"/>
    <w:rsid w:val="0D181E35"/>
    <w:rsid w:val="0D5C2965"/>
    <w:rsid w:val="0D891BB9"/>
    <w:rsid w:val="0DC044E7"/>
    <w:rsid w:val="10542E75"/>
    <w:rsid w:val="12A667DF"/>
    <w:rsid w:val="12C15726"/>
    <w:rsid w:val="14F92756"/>
    <w:rsid w:val="15F246F4"/>
    <w:rsid w:val="163E73DD"/>
    <w:rsid w:val="165E3955"/>
    <w:rsid w:val="17D35CEC"/>
    <w:rsid w:val="181540DB"/>
    <w:rsid w:val="181D531B"/>
    <w:rsid w:val="184F66DD"/>
    <w:rsid w:val="1ACA54B7"/>
    <w:rsid w:val="1B2007C5"/>
    <w:rsid w:val="1D4F7BCF"/>
    <w:rsid w:val="1E5A4D0E"/>
    <w:rsid w:val="1EAE1C11"/>
    <w:rsid w:val="1EF37109"/>
    <w:rsid w:val="1FAF7C66"/>
    <w:rsid w:val="20353823"/>
    <w:rsid w:val="225B26F2"/>
    <w:rsid w:val="23080AAA"/>
    <w:rsid w:val="243D61E7"/>
    <w:rsid w:val="246B243D"/>
    <w:rsid w:val="25445688"/>
    <w:rsid w:val="25905F3B"/>
    <w:rsid w:val="26650B33"/>
    <w:rsid w:val="27272B91"/>
    <w:rsid w:val="28210FFB"/>
    <w:rsid w:val="283F626C"/>
    <w:rsid w:val="28E73855"/>
    <w:rsid w:val="29CF721E"/>
    <w:rsid w:val="29D208FF"/>
    <w:rsid w:val="2A4D3330"/>
    <w:rsid w:val="2C4001E8"/>
    <w:rsid w:val="2C8A36BF"/>
    <w:rsid w:val="2DBB2943"/>
    <w:rsid w:val="2DCC7D98"/>
    <w:rsid w:val="309848A8"/>
    <w:rsid w:val="30A02F77"/>
    <w:rsid w:val="30B07B42"/>
    <w:rsid w:val="30ED013B"/>
    <w:rsid w:val="330634FF"/>
    <w:rsid w:val="33CF1CE6"/>
    <w:rsid w:val="35E534D2"/>
    <w:rsid w:val="36AE3C37"/>
    <w:rsid w:val="37432F73"/>
    <w:rsid w:val="38B554FD"/>
    <w:rsid w:val="3962406F"/>
    <w:rsid w:val="3A671C7E"/>
    <w:rsid w:val="3BB83E2C"/>
    <w:rsid w:val="3C2F6355"/>
    <w:rsid w:val="3C7F3CF6"/>
    <w:rsid w:val="3C9B58F4"/>
    <w:rsid w:val="3CA229A8"/>
    <w:rsid w:val="3CEE3E1B"/>
    <w:rsid w:val="3D3D10B3"/>
    <w:rsid w:val="3E5B5639"/>
    <w:rsid w:val="3F274767"/>
    <w:rsid w:val="40AA66F2"/>
    <w:rsid w:val="41367FD4"/>
    <w:rsid w:val="418475DC"/>
    <w:rsid w:val="42053E11"/>
    <w:rsid w:val="42CB6A5C"/>
    <w:rsid w:val="43501603"/>
    <w:rsid w:val="437F5B5D"/>
    <w:rsid w:val="43E14AE8"/>
    <w:rsid w:val="44694D5F"/>
    <w:rsid w:val="44DB4A54"/>
    <w:rsid w:val="451014C1"/>
    <w:rsid w:val="45CD39F1"/>
    <w:rsid w:val="464B3499"/>
    <w:rsid w:val="466A1EF1"/>
    <w:rsid w:val="476676CB"/>
    <w:rsid w:val="484B1669"/>
    <w:rsid w:val="49FF7049"/>
    <w:rsid w:val="4A744481"/>
    <w:rsid w:val="4BC333FD"/>
    <w:rsid w:val="4CD13F18"/>
    <w:rsid w:val="4FA7238C"/>
    <w:rsid w:val="4FAE00DB"/>
    <w:rsid w:val="4FB73934"/>
    <w:rsid w:val="50835C4A"/>
    <w:rsid w:val="509E1BB6"/>
    <w:rsid w:val="529F111E"/>
    <w:rsid w:val="53811C87"/>
    <w:rsid w:val="53F15C8B"/>
    <w:rsid w:val="560E4AB0"/>
    <w:rsid w:val="57A66C89"/>
    <w:rsid w:val="57EA54FD"/>
    <w:rsid w:val="597E2196"/>
    <w:rsid w:val="5B2E6704"/>
    <w:rsid w:val="5BE956B9"/>
    <w:rsid w:val="5D6C271F"/>
    <w:rsid w:val="5E5F5FEF"/>
    <w:rsid w:val="5E7C7F1E"/>
    <w:rsid w:val="5ED070A8"/>
    <w:rsid w:val="5F203E6A"/>
    <w:rsid w:val="5FDD20B3"/>
    <w:rsid w:val="60BB4532"/>
    <w:rsid w:val="61F10003"/>
    <w:rsid w:val="63355B5F"/>
    <w:rsid w:val="666673F2"/>
    <w:rsid w:val="673351A7"/>
    <w:rsid w:val="678E0FC1"/>
    <w:rsid w:val="681D2AD9"/>
    <w:rsid w:val="68E12757"/>
    <w:rsid w:val="6AB402C4"/>
    <w:rsid w:val="6C227BD6"/>
    <w:rsid w:val="6C7E7EF5"/>
    <w:rsid w:val="6D450F15"/>
    <w:rsid w:val="6DB6315E"/>
    <w:rsid w:val="6DC51F1D"/>
    <w:rsid w:val="6DF33853"/>
    <w:rsid w:val="6EC07505"/>
    <w:rsid w:val="6EE91A46"/>
    <w:rsid w:val="6F8760CB"/>
    <w:rsid w:val="72184935"/>
    <w:rsid w:val="726D686F"/>
    <w:rsid w:val="741B127B"/>
    <w:rsid w:val="741E5654"/>
    <w:rsid w:val="758F2641"/>
    <w:rsid w:val="76290794"/>
    <w:rsid w:val="767A2120"/>
    <w:rsid w:val="76EA6CD3"/>
    <w:rsid w:val="7815101D"/>
    <w:rsid w:val="78686D37"/>
    <w:rsid w:val="7B310CFE"/>
    <w:rsid w:val="7B730D4F"/>
    <w:rsid w:val="7D6A6BEE"/>
    <w:rsid w:val="7D902293"/>
    <w:rsid w:val="7F405623"/>
    <w:rsid w:val="7F5A6F67"/>
    <w:rsid w:val="7FD22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2019-06-05T08:45:00Z</dcterms:created>
  <dc:creator>国强</dc:creator>
  <cp:lastModifiedBy>国强</cp:lastModifiedBy>
  <cp:lastPrinted>2019-06-20T09:33:09Z</cp:lastPrinted>
  <dcterms:modified xsi:type="dcterms:W3CDTF">2019-06-20T09:33:57Z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