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260" w:hanging="1260" w:hangingChars="450"/>
        <w:rPr>
          <w:rFonts w:hint="eastAsia" w:ascii="新宋体" w:hAnsi="新宋体" w:eastAsia="新宋体"/>
          <w:sz w:val="28"/>
          <w:szCs w:val="28"/>
        </w:rPr>
      </w:pPr>
      <w:r>
        <w:rPr>
          <w:rFonts w:hint="eastAsia" w:ascii="新宋体" w:hAnsi="新宋体" w:eastAsia="新宋体"/>
          <w:sz w:val="28"/>
          <w:szCs w:val="28"/>
        </w:rPr>
        <w:t>附件</w:t>
      </w:r>
      <w:r>
        <w:rPr>
          <w:rFonts w:hint="eastAsia" w:ascii="新宋体" w:hAnsi="新宋体" w:eastAsia="新宋体"/>
          <w:sz w:val="28"/>
          <w:szCs w:val="28"/>
          <w:lang w:val="en-US" w:eastAsia="zh-CN"/>
        </w:rPr>
        <w:t>3</w:t>
      </w:r>
      <w:r>
        <w:rPr>
          <w:rFonts w:hint="eastAsia" w:ascii="新宋体" w:hAnsi="新宋体" w:eastAsia="新宋体"/>
          <w:sz w:val="28"/>
          <w:szCs w:val="28"/>
        </w:rPr>
        <w:t>：</w:t>
      </w:r>
    </w:p>
    <w:p>
      <w:pPr>
        <w:rPr>
          <w:rFonts w:hint="eastAsia" w:ascii="仿宋_GB2312" w:eastAsia="仿宋_GB2312"/>
          <w:sz w:val="24"/>
        </w:rPr>
      </w:pPr>
    </w:p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广西拍卖行业201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9</w:t>
      </w:r>
      <w:r>
        <w:rPr>
          <w:rFonts w:hint="eastAsia" w:ascii="黑体" w:hAnsi="黑体" w:eastAsia="黑体"/>
          <w:sz w:val="36"/>
          <w:szCs w:val="36"/>
        </w:rPr>
        <w:t>年开展慈善义拍情况统计表</w:t>
      </w:r>
    </w:p>
    <w:p>
      <w:pPr>
        <w:ind w:left="1260" w:hanging="1260" w:hangingChars="450"/>
        <w:rPr>
          <w:rFonts w:hint="eastAsia" w:ascii="新宋体" w:hAnsi="新宋体" w:eastAsia="新宋体"/>
          <w:sz w:val="28"/>
          <w:szCs w:val="28"/>
        </w:rPr>
      </w:pPr>
    </w:p>
    <w:p>
      <w:pPr>
        <w:ind w:left="1260" w:hanging="1260" w:hangingChars="450"/>
        <w:rPr>
          <w:rFonts w:hint="eastAsia" w:ascii="新宋体" w:hAnsi="新宋体" w:eastAsia="新宋体"/>
          <w:sz w:val="28"/>
          <w:szCs w:val="28"/>
        </w:rPr>
      </w:pPr>
      <w:r>
        <w:rPr>
          <w:rFonts w:hint="eastAsia" w:ascii="新宋体" w:hAnsi="新宋体" w:eastAsia="新宋体"/>
          <w:sz w:val="28"/>
          <w:szCs w:val="28"/>
        </w:rPr>
        <w:t>企业名称：　　　　　　　　　　　（公章）20</w:t>
      </w:r>
      <w:r>
        <w:rPr>
          <w:rFonts w:hint="eastAsia" w:ascii="新宋体" w:hAnsi="新宋体" w:eastAsia="新宋体"/>
          <w:sz w:val="28"/>
          <w:szCs w:val="28"/>
          <w:lang w:val="en-US" w:eastAsia="zh-CN"/>
        </w:rPr>
        <w:t>20</w:t>
      </w:r>
      <w:r>
        <w:rPr>
          <w:rFonts w:hint="eastAsia" w:ascii="新宋体" w:hAnsi="新宋体" w:eastAsia="新宋体"/>
          <w:sz w:val="28"/>
          <w:szCs w:val="28"/>
        </w:rPr>
        <w:t>年　　月　　日</w:t>
      </w:r>
    </w:p>
    <w:tbl>
      <w:tblPr>
        <w:tblStyle w:val="4"/>
        <w:tblW w:w="90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399"/>
        <w:gridCol w:w="1364"/>
        <w:gridCol w:w="1334"/>
        <w:gridCol w:w="1778"/>
        <w:gridCol w:w="21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义拍</w:t>
            </w:r>
          </w:p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时间</w:t>
            </w:r>
          </w:p>
        </w:tc>
        <w:tc>
          <w:tcPr>
            <w:tcW w:w="1399" w:type="dxa"/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义拍</w:t>
            </w:r>
          </w:p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标的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义拍卖场次（场）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义拍善款</w:t>
            </w:r>
          </w:p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（万元）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义拍善款用途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接受善款单位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noWrap w:val="0"/>
            <w:vAlign w:val="top"/>
          </w:tcPr>
          <w:p>
            <w:pPr>
              <w:spacing w:line="720" w:lineRule="auto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1399" w:type="dxa"/>
            <w:noWrap w:val="0"/>
            <w:vAlign w:val="top"/>
          </w:tcPr>
          <w:p>
            <w:pPr>
              <w:spacing w:line="720" w:lineRule="auto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1364" w:type="dxa"/>
            <w:noWrap w:val="0"/>
            <w:vAlign w:val="top"/>
          </w:tcPr>
          <w:p>
            <w:pPr>
              <w:spacing w:line="720" w:lineRule="auto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1334" w:type="dxa"/>
            <w:noWrap w:val="0"/>
            <w:vAlign w:val="top"/>
          </w:tcPr>
          <w:p>
            <w:pPr>
              <w:spacing w:line="720" w:lineRule="auto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1778" w:type="dxa"/>
            <w:noWrap w:val="0"/>
            <w:vAlign w:val="top"/>
          </w:tcPr>
          <w:p>
            <w:pPr>
              <w:spacing w:line="720" w:lineRule="auto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2139" w:type="dxa"/>
            <w:noWrap w:val="0"/>
            <w:vAlign w:val="top"/>
          </w:tcPr>
          <w:p>
            <w:pPr>
              <w:spacing w:line="720" w:lineRule="auto"/>
              <w:rPr>
                <w:rFonts w:hint="eastAsia"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noWrap w:val="0"/>
            <w:vAlign w:val="top"/>
          </w:tcPr>
          <w:p>
            <w:pPr>
              <w:spacing w:line="720" w:lineRule="auto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1399" w:type="dxa"/>
            <w:noWrap w:val="0"/>
            <w:vAlign w:val="top"/>
          </w:tcPr>
          <w:p>
            <w:pPr>
              <w:spacing w:line="720" w:lineRule="auto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1364" w:type="dxa"/>
            <w:noWrap w:val="0"/>
            <w:vAlign w:val="top"/>
          </w:tcPr>
          <w:p>
            <w:pPr>
              <w:spacing w:line="720" w:lineRule="auto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1334" w:type="dxa"/>
            <w:noWrap w:val="0"/>
            <w:vAlign w:val="top"/>
          </w:tcPr>
          <w:p>
            <w:pPr>
              <w:spacing w:line="720" w:lineRule="auto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1778" w:type="dxa"/>
            <w:noWrap w:val="0"/>
            <w:vAlign w:val="top"/>
          </w:tcPr>
          <w:p>
            <w:pPr>
              <w:spacing w:line="720" w:lineRule="auto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2139" w:type="dxa"/>
            <w:noWrap w:val="0"/>
            <w:vAlign w:val="top"/>
          </w:tcPr>
          <w:p>
            <w:pPr>
              <w:spacing w:line="720" w:lineRule="auto"/>
              <w:rPr>
                <w:rFonts w:hint="eastAsia"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noWrap w:val="0"/>
            <w:vAlign w:val="top"/>
          </w:tcPr>
          <w:p>
            <w:pPr>
              <w:spacing w:line="720" w:lineRule="auto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1399" w:type="dxa"/>
            <w:noWrap w:val="0"/>
            <w:vAlign w:val="top"/>
          </w:tcPr>
          <w:p>
            <w:pPr>
              <w:spacing w:line="720" w:lineRule="auto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1364" w:type="dxa"/>
            <w:noWrap w:val="0"/>
            <w:vAlign w:val="top"/>
          </w:tcPr>
          <w:p>
            <w:pPr>
              <w:spacing w:line="720" w:lineRule="auto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1334" w:type="dxa"/>
            <w:noWrap w:val="0"/>
            <w:vAlign w:val="top"/>
          </w:tcPr>
          <w:p>
            <w:pPr>
              <w:spacing w:line="720" w:lineRule="auto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1778" w:type="dxa"/>
            <w:noWrap w:val="0"/>
            <w:vAlign w:val="top"/>
          </w:tcPr>
          <w:p>
            <w:pPr>
              <w:spacing w:line="720" w:lineRule="auto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2139" w:type="dxa"/>
            <w:noWrap w:val="0"/>
            <w:vAlign w:val="top"/>
          </w:tcPr>
          <w:p>
            <w:pPr>
              <w:spacing w:line="720" w:lineRule="auto"/>
              <w:rPr>
                <w:rFonts w:hint="eastAsia"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noWrap w:val="0"/>
            <w:vAlign w:val="top"/>
          </w:tcPr>
          <w:p>
            <w:pPr>
              <w:spacing w:line="720" w:lineRule="auto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1399" w:type="dxa"/>
            <w:noWrap w:val="0"/>
            <w:vAlign w:val="top"/>
          </w:tcPr>
          <w:p>
            <w:pPr>
              <w:spacing w:line="720" w:lineRule="auto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1364" w:type="dxa"/>
            <w:noWrap w:val="0"/>
            <w:vAlign w:val="top"/>
          </w:tcPr>
          <w:p>
            <w:pPr>
              <w:spacing w:line="720" w:lineRule="auto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1334" w:type="dxa"/>
            <w:noWrap w:val="0"/>
            <w:vAlign w:val="top"/>
          </w:tcPr>
          <w:p>
            <w:pPr>
              <w:spacing w:line="720" w:lineRule="auto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1778" w:type="dxa"/>
            <w:noWrap w:val="0"/>
            <w:vAlign w:val="top"/>
          </w:tcPr>
          <w:p>
            <w:pPr>
              <w:spacing w:line="720" w:lineRule="auto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2139" w:type="dxa"/>
            <w:noWrap w:val="0"/>
            <w:vAlign w:val="top"/>
          </w:tcPr>
          <w:p>
            <w:pPr>
              <w:spacing w:line="720" w:lineRule="auto"/>
              <w:rPr>
                <w:rFonts w:hint="eastAsia"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noWrap w:val="0"/>
            <w:vAlign w:val="top"/>
          </w:tcPr>
          <w:p>
            <w:pPr>
              <w:spacing w:line="720" w:lineRule="auto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1399" w:type="dxa"/>
            <w:noWrap w:val="0"/>
            <w:vAlign w:val="top"/>
          </w:tcPr>
          <w:p>
            <w:pPr>
              <w:spacing w:line="720" w:lineRule="auto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1364" w:type="dxa"/>
            <w:noWrap w:val="0"/>
            <w:vAlign w:val="top"/>
          </w:tcPr>
          <w:p>
            <w:pPr>
              <w:spacing w:line="720" w:lineRule="auto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1334" w:type="dxa"/>
            <w:noWrap w:val="0"/>
            <w:vAlign w:val="top"/>
          </w:tcPr>
          <w:p>
            <w:pPr>
              <w:spacing w:line="720" w:lineRule="auto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1778" w:type="dxa"/>
            <w:noWrap w:val="0"/>
            <w:vAlign w:val="top"/>
          </w:tcPr>
          <w:p>
            <w:pPr>
              <w:spacing w:line="720" w:lineRule="auto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2139" w:type="dxa"/>
            <w:noWrap w:val="0"/>
            <w:vAlign w:val="top"/>
          </w:tcPr>
          <w:p>
            <w:pPr>
              <w:spacing w:line="720" w:lineRule="auto"/>
              <w:rPr>
                <w:rFonts w:hint="eastAsia"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noWrap w:val="0"/>
            <w:vAlign w:val="top"/>
          </w:tcPr>
          <w:p>
            <w:pPr>
              <w:spacing w:line="720" w:lineRule="auto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1399" w:type="dxa"/>
            <w:noWrap w:val="0"/>
            <w:vAlign w:val="top"/>
          </w:tcPr>
          <w:p>
            <w:pPr>
              <w:spacing w:line="720" w:lineRule="auto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1364" w:type="dxa"/>
            <w:noWrap w:val="0"/>
            <w:vAlign w:val="top"/>
          </w:tcPr>
          <w:p>
            <w:pPr>
              <w:spacing w:line="720" w:lineRule="auto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1334" w:type="dxa"/>
            <w:noWrap w:val="0"/>
            <w:vAlign w:val="top"/>
          </w:tcPr>
          <w:p>
            <w:pPr>
              <w:spacing w:line="720" w:lineRule="auto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1778" w:type="dxa"/>
            <w:noWrap w:val="0"/>
            <w:vAlign w:val="top"/>
          </w:tcPr>
          <w:p>
            <w:pPr>
              <w:spacing w:line="720" w:lineRule="auto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2139" w:type="dxa"/>
            <w:noWrap w:val="0"/>
            <w:vAlign w:val="top"/>
          </w:tcPr>
          <w:p>
            <w:pPr>
              <w:spacing w:line="720" w:lineRule="auto"/>
              <w:rPr>
                <w:rFonts w:hint="eastAsia"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noWrap w:val="0"/>
            <w:vAlign w:val="top"/>
          </w:tcPr>
          <w:p>
            <w:pPr>
              <w:spacing w:line="720" w:lineRule="auto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1399" w:type="dxa"/>
            <w:noWrap w:val="0"/>
            <w:vAlign w:val="top"/>
          </w:tcPr>
          <w:p>
            <w:pPr>
              <w:spacing w:line="720" w:lineRule="auto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1364" w:type="dxa"/>
            <w:noWrap w:val="0"/>
            <w:vAlign w:val="top"/>
          </w:tcPr>
          <w:p>
            <w:pPr>
              <w:spacing w:line="720" w:lineRule="auto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1334" w:type="dxa"/>
            <w:noWrap w:val="0"/>
            <w:vAlign w:val="top"/>
          </w:tcPr>
          <w:p>
            <w:pPr>
              <w:spacing w:line="720" w:lineRule="auto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1778" w:type="dxa"/>
            <w:noWrap w:val="0"/>
            <w:vAlign w:val="top"/>
          </w:tcPr>
          <w:p>
            <w:pPr>
              <w:spacing w:line="720" w:lineRule="auto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2139" w:type="dxa"/>
            <w:noWrap w:val="0"/>
            <w:vAlign w:val="top"/>
          </w:tcPr>
          <w:p>
            <w:pPr>
              <w:spacing w:line="720" w:lineRule="auto"/>
              <w:rPr>
                <w:rFonts w:hint="eastAsia"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合计</w:t>
            </w:r>
          </w:p>
        </w:tc>
        <w:tc>
          <w:tcPr>
            <w:tcW w:w="1399" w:type="dxa"/>
            <w:noWrap w:val="0"/>
            <w:vAlign w:val="top"/>
          </w:tcPr>
          <w:p>
            <w:pPr>
              <w:spacing w:line="360" w:lineRule="auto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1364" w:type="dxa"/>
            <w:noWrap w:val="0"/>
            <w:vAlign w:val="top"/>
          </w:tcPr>
          <w:p>
            <w:pPr>
              <w:spacing w:line="360" w:lineRule="auto"/>
              <w:rPr>
                <w:rFonts w:hint="eastAsia" w:ascii="新宋体" w:hAnsi="新宋体" w:eastAsia="新宋体"/>
                <w:sz w:val="24"/>
              </w:rPr>
            </w:pPr>
          </w:p>
          <w:p>
            <w:pPr>
              <w:spacing w:line="360" w:lineRule="auto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1334" w:type="dxa"/>
            <w:noWrap w:val="0"/>
            <w:vAlign w:val="top"/>
          </w:tcPr>
          <w:p>
            <w:pPr>
              <w:spacing w:line="360" w:lineRule="auto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1778" w:type="dxa"/>
            <w:noWrap w:val="0"/>
            <w:vAlign w:val="top"/>
          </w:tcPr>
          <w:p>
            <w:pPr>
              <w:spacing w:line="360" w:lineRule="auto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2139" w:type="dxa"/>
            <w:noWrap w:val="0"/>
            <w:vAlign w:val="top"/>
          </w:tcPr>
          <w:p>
            <w:pPr>
              <w:spacing w:line="360" w:lineRule="auto"/>
              <w:rPr>
                <w:rFonts w:hint="eastAsia"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备注</w:t>
            </w:r>
          </w:p>
        </w:tc>
        <w:tc>
          <w:tcPr>
            <w:tcW w:w="8014" w:type="dxa"/>
            <w:gridSpan w:val="5"/>
            <w:noWrap w:val="0"/>
            <w:vAlign w:val="top"/>
          </w:tcPr>
          <w:p>
            <w:pPr>
              <w:spacing w:line="360" w:lineRule="auto"/>
              <w:rPr>
                <w:rFonts w:hint="eastAsia" w:ascii="新宋体" w:hAnsi="新宋体" w:eastAsia="新宋体"/>
                <w:sz w:val="24"/>
              </w:rPr>
            </w:pPr>
          </w:p>
          <w:p>
            <w:pPr>
              <w:spacing w:line="360" w:lineRule="auto"/>
              <w:rPr>
                <w:rFonts w:hint="eastAsia" w:ascii="新宋体" w:hAnsi="新宋体" w:eastAsia="新宋体"/>
                <w:sz w:val="24"/>
              </w:rPr>
            </w:pPr>
          </w:p>
        </w:tc>
      </w:tr>
    </w:tbl>
    <w:p>
      <w:pPr>
        <w:ind w:left="1440" w:hanging="1440" w:hangingChars="450"/>
        <w:rPr>
          <w:rFonts w:hint="eastAsia" w:ascii="仿宋_GB2312" w:hAnsi="新宋体" w:eastAsia="仿宋_GB2312"/>
          <w:sz w:val="32"/>
          <w:szCs w:val="32"/>
        </w:rPr>
      </w:pP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304" w:bottom="1247" w:left="130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D4443A"/>
    <w:rsid w:val="0BD4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2020-01-07T01:35:00Z</dcterms:created>
  <dc:creator>国强</dc:creator>
  <cp:lastModifiedBy>国强</cp:lastModifiedBy>
  <dcterms:modified xsi:type="dcterms:W3CDTF">2020-01-07T01:36:02Z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