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附件2：</w:t>
      </w:r>
    </w:p>
    <w:p>
      <w:pPr>
        <w:spacing w:after="156" w:afterLines="50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2019年度</w:t>
      </w:r>
      <w:bookmarkStart w:id="0" w:name="_GoBack"/>
      <w:r>
        <w:rPr>
          <w:rFonts w:hint="eastAsia" w:eastAsia="黑体"/>
          <w:sz w:val="36"/>
        </w:rPr>
        <w:t>广西先进拍卖企业评分标准表</w:t>
      </w:r>
      <w:bookmarkEnd w:id="0"/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120"/>
        <w:gridCol w:w="994"/>
        <w:gridCol w:w="794"/>
        <w:gridCol w:w="729"/>
        <w:gridCol w:w="1443"/>
        <w:gridCol w:w="900"/>
        <w:gridCol w:w="964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序号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项　目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内　　　　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标准分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企业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自评分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审核资料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一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依法经营规范运作</w:t>
            </w:r>
          </w:p>
        </w:tc>
        <w:tc>
          <w:tcPr>
            <w:tcW w:w="3960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遵守《拍卖法》、《拍卖管理办法》及相关法律、法规和国家有关拍卖业的政策规定，遵守业务主管部门、协会的有关规定，依法经营，规范运作，无违规行为，无恶意竞争事件发生。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企业申报推荐表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08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二</w:t>
            </w:r>
          </w:p>
        </w:tc>
        <w:tc>
          <w:tcPr>
            <w:tcW w:w="112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拍卖师</w:t>
            </w:r>
          </w:p>
        </w:tc>
        <w:tc>
          <w:tcPr>
            <w:tcW w:w="2517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有与从事拍卖业务相适应的拍卖师，能严格管理拍卖师，拍卖师无违规行为。拍卖师有违规行为的，其企业不得申报。有拍卖师：</w:t>
            </w:r>
          </w:p>
        </w:tc>
        <w:tc>
          <w:tcPr>
            <w:tcW w:w="1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1人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国家注册拍卖师执业资格证书复印件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517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517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3人（含）以上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08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三</w:t>
            </w:r>
          </w:p>
        </w:tc>
        <w:tc>
          <w:tcPr>
            <w:tcW w:w="112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经营业绩</w:t>
            </w:r>
          </w:p>
        </w:tc>
        <w:tc>
          <w:tcPr>
            <w:tcW w:w="99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经营业绩显著，年拍卖成交额：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3000万元至6000万元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</w:rPr>
              <w:t>年度协会发布的企业经营统计年报表复印件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6000万元（含）至8000万元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14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8000万元（含）至1亿元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1亿元（含）至2亿元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2亿元（含）至以上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四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管理水平管理制度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企业管理水平较高，内部管理制度规范，建立健全各项规章制度。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公司拍卖工作流程、业务规则及主要的规章制度复印件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五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信息化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水平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信息化水平较高，已配置计算机，有会计电算化和计算机管理档案。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企业申报推荐表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六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档案材料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拍卖活动档案材料齐全，有经营季报、年报和会计报表，报表无弄虚作假。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企业申报推荐表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七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统计报表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及时、准确报送企业经营统计季报表、年报表（按时报齐季报、年报表满分，迟报或漏报1次减3分）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</w:rPr>
              <w:t>年度企业经营统计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年报复印件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业务培训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企业80%以上的从业人员经过从业培训，并取得资格证书。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从业人员资格证书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608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九</w:t>
            </w:r>
          </w:p>
        </w:tc>
        <w:tc>
          <w:tcPr>
            <w:tcW w:w="112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投稿情况</w:t>
            </w:r>
          </w:p>
        </w:tc>
        <w:tc>
          <w:tcPr>
            <w:tcW w:w="1788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firstLine="108" w:firstLineChars="60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通讯员踊跃向《广西拍卖通讯》投稿。</w:t>
            </w:r>
          </w:p>
        </w:tc>
        <w:tc>
          <w:tcPr>
            <w:tcW w:w="217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投稿1－2篇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</w:rPr>
              <w:t>年度《广西拍卖通讯》稿件复印件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投稿3－4篇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投稿5篇（含）以上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十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企业信誉</w:t>
            </w:r>
          </w:p>
        </w:tc>
        <w:tc>
          <w:tcPr>
            <w:tcW w:w="3960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获得市级奖励或荣誉称号（包括银行信用等级、工商部门“重合同守信用”单位）。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</w:rPr>
              <w:t>度获奖证明材料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960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获得自治区级奖励或荣誉称号（包括银行信用等级、工商部门“重合同守信用”单位、中拍协资质证书、区拍协先进企业奖励证书等）。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十一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社会责任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热心社会公益事业，积极参加济困扶贫、捐资助学、赈灾义捐献爱心活动。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</w:rPr>
              <w:t>年度有关公益活动捐赠证明材料复印件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合计</w:t>
            </w:r>
          </w:p>
        </w:tc>
        <w:tc>
          <w:tcPr>
            <w:tcW w:w="396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64023"/>
    <w:rsid w:val="27A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2020-01-07T01:46:00Z</dcterms:created>
  <dc:creator>国强</dc:creator>
  <cp:lastModifiedBy>国强</cp:lastModifiedBy>
  <dcterms:modified xsi:type="dcterms:W3CDTF">2020-01-07T01:46:52Z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