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ascii="仿宋_GB2312" w:hAnsi="宋体" w:eastAsia="仿宋_GB2312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color w:val="000000" w:themeColor="text1"/>
          <w:sz w:val="32"/>
          <w:szCs w:val="32"/>
          <w:u w:val="none"/>
          <w:lang w:eastAsia="zh-CN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仿宋_GB2312" w:hAnsi="宋体" w:eastAsia="仿宋_GB2312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1：</w:t>
      </w:r>
    </w:p>
    <w:p>
      <w:pPr>
        <w:spacing w:line="540" w:lineRule="exact"/>
        <w:rPr>
          <w:rFonts w:hint="default" w:ascii="仿宋_GB2312" w:hAnsi="宋体" w:eastAsia="仿宋_GB2312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spacing w:line="540" w:lineRule="exact"/>
        <w:jc w:val="center"/>
        <w:rPr>
          <w:rFonts w:hint="eastAsia" w:ascii="仿宋_GB2312" w:hAnsi="宋体" w:eastAsia="仿宋_GB2312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6"/>
          <w:szCs w:val="36"/>
          <w:u w:val="none"/>
          <w14:textFill>
            <w14:solidFill>
              <w14:schemeClr w14:val="tx1"/>
            </w14:solidFill>
          </w14:textFill>
        </w:rPr>
        <w:t>2019年全区拍卖业业绩情况表（按地区统计）</w:t>
      </w:r>
    </w:p>
    <w:p>
      <w:pPr>
        <w:spacing w:line="540" w:lineRule="exact"/>
        <w:jc w:val="right"/>
        <w:rPr>
          <w:rFonts w:hint="eastAsia" w:ascii="仿宋_GB2312" w:hAnsi="宋体" w:eastAsia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 w:cstheme="majorEastAsia"/>
          <w:color w:val="000000" w:themeColor="text1"/>
          <w:sz w:val="24"/>
          <w:szCs w:val="24"/>
          <w:u w:val="none"/>
          <w:lang w:val="en-US" w:eastAsia="zh-CN"/>
          <w14:textFill>
            <w14:solidFill>
              <w14:schemeClr w14:val="tx1"/>
            </w14:solidFill>
          </w14:textFill>
        </w:rPr>
        <w:t>单位：万元</w:t>
      </w:r>
    </w:p>
    <w:tbl>
      <w:tblPr>
        <w:tblStyle w:val="2"/>
        <w:tblW w:w="8893" w:type="dxa"/>
        <w:jc w:val="center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33"/>
        <w:gridCol w:w="1545"/>
        <w:gridCol w:w="1515"/>
        <w:gridCol w:w="1530"/>
        <w:gridCol w:w="1545"/>
        <w:gridCol w:w="142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333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地  区</w:t>
            </w:r>
          </w:p>
        </w:tc>
        <w:tc>
          <w:tcPr>
            <w:tcW w:w="1545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2019年成</w:t>
            </w:r>
            <w:r>
              <w:rPr>
                <w:rFonts w:hint="eastAsia" w:asciiTheme="majorEastAsia" w:hAnsiTheme="majorEastAsia" w:eastAsiaTheme="majorEastAsia" w:cstheme="majorEastAsia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Theme="majorEastAsia" w:hAnsiTheme="majorEastAsia" w:eastAsiaTheme="majorEastAsia" w:cstheme="majorEastAsia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交总额</w:t>
            </w:r>
          </w:p>
        </w:tc>
        <w:tc>
          <w:tcPr>
            <w:tcW w:w="1515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占成交总额</w:t>
            </w:r>
            <w:r>
              <w:rPr>
                <w:rFonts w:hint="eastAsia" w:asciiTheme="majorEastAsia" w:hAnsiTheme="majorEastAsia" w:eastAsiaTheme="majorEastAsia" w:cstheme="majorEastAsia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Theme="majorEastAsia" w:hAnsiTheme="majorEastAsia" w:eastAsiaTheme="majorEastAsia" w:cstheme="majorEastAsia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比例（%）</w:t>
            </w:r>
          </w:p>
        </w:tc>
        <w:tc>
          <w:tcPr>
            <w:tcW w:w="1530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2018年成</w:t>
            </w:r>
            <w:r>
              <w:rPr>
                <w:rFonts w:hint="eastAsia" w:asciiTheme="majorEastAsia" w:hAnsiTheme="majorEastAsia" w:eastAsiaTheme="majorEastAsia" w:cstheme="majorEastAsia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Theme="majorEastAsia" w:hAnsiTheme="majorEastAsia" w:eastAsiaTheme="majorEastAsia" w:cstheme="majorEastAsia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交总额</w:t>
            </w:r>
          </w:p>
        </w:tc>
        <w:tc>
          <w:tcPr>
            <w:tcW w:w="1545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占成交总额</w:t>
            </w:r>
            <w:r>
              <w:rPr>
                <w:rFonts w:hint="eastAsia" w:asciiTheme="majorEastAsia" w:hAnsiTheme="majorEastAsia" w:eastAsiaTheme="majorEastAsia" w:cstheme="majorEastAsia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Theme="majorEastAsia" w:hAnsiTheme="majorEastAsia" w:eastAsiaTheme="majorEastAsia" w:cstheme="majorEastAsia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比例（%）</w:t>
            </w:r>
          </w:p>
        </w:tc>
        <w:tc>
          <w:tcPr>
            <w:tcW w:w="1425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同比增长</w:t>
            </w:r>
            <w:r>
              <w:rPr>
                <w:rFonts w:hint="eastAsia" w:asciiTheme="majorEastAsia" w:hAnsiTheme="majorEastAsia" w:eastAsiaTheme="majorEastAsia" w:cstheme="majorEastAsia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Theme="majorEastAsia" w:hAnsiTheme="majorEastAsia" w:eastAsiaTheme="majorEastAsia" w:cstheme="majorEastAsia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率（%）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33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5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133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合计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ajorEastAsia" w:hAnsiTheme="majorEastAsia" w:eastAsiaTheme="majorEastAsia" w:cstheme="majorEastAsia"/>
                <w:b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1399816.73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ajorEastAsia" w:hAnsiTheme="majorEastAsia" w:eastAsiaTheme="majorEastAsia" w:cstheme="majorEastAsia"/>
                <w:b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100.00 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ajorEastAsia" w:hAnsiTheme="majorEastAsia" w:eastAsiaTheme="majorEastAsia" w:cstheme="majorEastAsia"/>
                <w:b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1518476.53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ajorEastAsia" w:hAnsiTheme="majorEastAsia" w:eastAsiaTheme="majorEastAsia" w:cstheme="majorEastAsia"/>
                <w:b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100.00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ajorEastAsia" w:hAnsiTheme="majorEastAsia" w:eastAsiaTheme="majorEastAsia" w:cstheme="majorEastAsia"/>
                <w:b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-7.81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133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南宁市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855354.91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61.10 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1243674.85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81.90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-31.22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133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柳州市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95713.51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6.84 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41735.37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2.75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129.33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133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桂林市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287644.25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20.55 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117219.71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7.72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145.39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133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梧州市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21676.34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1.55 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5090.33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0.34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325.83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133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北海市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26200.85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1.87 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38056.24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2.51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-31.15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133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防城港市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9504.04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0.68 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13270.54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0.87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-28.38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133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钦州市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25651.80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1.83 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2676.50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0.18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858.41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133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贵港市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4159.99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0.30 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4312.22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0.28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-3.53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133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玉林市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35115.15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2.51 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41073.16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2.70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-14.51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133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百色市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20741.00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1.48 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502.21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0.03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4029.98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133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贺州市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827.12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0.06 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281.26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0.02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194.08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133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河池市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16690.00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1.19 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7150.00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0.47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133.43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133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来宾市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180.00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0.01 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94.41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0.01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90.66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1333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崇左市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357.78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0.03 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3339.73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0.22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-89.29 </w:t>
            </w:r>
          </w:p>
        </w:tc>
      </w:tr>
    </w:tbl>
    <w:p>
      <w:pPr>
        <w:spacing w:line="540" w:lineRule="exact"/>
        <w:rPr>
          <w:rFonts w:hint="eastAsia" w:ascii="仿宋_GB2312" w:hAnsi="宋体" w:eastAsia="仿宋_GB2312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</w:pPr>
    </w:p>
    <w:p>
      <w:pPr>
        <w:spacing w:line="540" w:lineRule="exact"/>
        <w:rPr>
          <w:rFonts w:hint="eastAsia" w:ascii="仿宋_GB2312" w:hAnsi="宋体" w:eastAsia="仿宋_GB2312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</w:pPr>
    </w:p>
    <w:p>
      <w:pPr>
        <w:spacing w:line="540" w:lineRule="exact"/>
        <w:rPr>
          <w:rFonts w:hint="eastAsia" w:ascii="仿宋_GB2312" w:hAnsi="宋体" w:eastAsia="仿宋_GB2312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</w:pPr>
    </w:p>
    <w:p>
      <w:pPr>
        <w:spacing w:line="540" w:lineRule="exact"/>
        <w:rPr>
          <w:rFonts w:hint="eastAsia" w:ascii="仿宋_GB2312" w:hAnsi="宋体" w:eastAsia="仿宋_GB2312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</w:pPr>
    </w:p>
    <w:p>
      <w:pPr>
        <w:spacing w:line="540" w:lineRule="exact"/>
        <w:rPr>
          <w:rFonts w:hint="eastAsia" w:ascii="仿宋_GB2312" w:hAnsi="宋体" w:eastAsia="仿宋_GB2312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color w:val="000000" w:themeColor="text1"/>
          <w:sz w:val="32"/>
          <w:szCs w:val="32"/>
          <w:u w:val="none"/>
          <w:lang w:eastAsia="zh-CN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仿宋_GB2312" w:hAnsi="宋体" w:eastAsia="仿宋_GB2312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2：</w:t>
      </w:r>
    </w:p>
    <w:p>
      <w:pPr>
        <w:spacing w:line="540" w:lineRule="exact"/>
        <w:rPr>
          <w:rFonts w:hint="eastAsia" w:ascii="仿宋_GB2312" w:hAnsi="宋体" w:eastAsia="仿宋_GB2312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spacing w:line="540" w:lineRule="exact"/>
        <w:jc w:val="center"/>
        <w:rPr>
          <w:rFonts w:hint="eastAsia" w:ascii="黑体" w:hAnsi="黑体" w:eastAsia="黑体" w:cs="黑体"/>
          <w:color w:val="000000" w:themeColor="text1"/>
          <w:sz w:val="36"/>
          <w:szCs w:val="36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6"/>
          <w:szCs w:val="36"/>
          <w:u w:val="none"/>
          <w:lang w:val="en-US" w:eastAsia="zh-CN"/>
          <w14:textFill>
            <w14:solidFill>
              <w14:schemeClr w14:val="tx1"/>
            </w14:solidFill>
          </w14:textFill>
        </w:rPr>
        <w:t>2019年全区拍卖业业绩情况表（按标的统计）</w:t>
      </w:r>
    </w:p>
    <w:p>
      <w:pPr>
        <w:spacing w:line="540" w:lineRule="exact"/>
        <w:jc w:val="right"/>
        <w:rPr>
          <w:rFonts w:hint="eastAsia" w:ascii="黑体" w:hAnsi="黑体" w:eastAsia="黑体" w:cs="黑体"/>
          <w:color w:val="000000" w:themeColor="text1"/>
          <w:sz w:val="36"/>
          <w:szCs w:val="36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 w:cstheme="majorEastAsia"/>
          <w:color w:val="000000" w:themeColor="text1"/>
          <w:sz w:val="24"/>
          <w:szCs w:val="24"/>
          <w:u w:val="none"/>
          <w:lang w:val="en-US" w:eastAsia="zh-CN"/>
          <w14:textFill>
            <w14:solidFill>
              <w14:schemeClr w14:val="tx1"/>
            </w14:solidFill>
          </w14:textFill>
        </w:rPr>
        <w:t>单位：万元</w:t>
      </w:r>
    </w:p>
    <w:tbl>
      <w:tblPr>
        <w:tblStyle w:val="2"/>
        <w:tblW w:w="8562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78"/>
        <w:gridCol w:w="1410"/>
        <w:gridCol w:w="1320"/>
        <w:gridCol w:w="1314"/>
        <w:gridCol w:w="1380"/>
        <w:gridCol w:w="116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97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标  的</w:t>
            </w:r>
          </w:p>
        </w:tc>
        <w:tc>
          <w:tcPr>
            <w:tcW w:w="1410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2019年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成交总额</w:t>
            </w:r>
          </w:p>
        </w:tc>
        <w:tc>
          <w:tcPr>
            <w:tcW w:w="1320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占成交总额比例（%）</w:t>
            </w:r>
          </w:p>
        </w:tc>
        <w:tc>
          <w:tcPr>
            <w:tcW w:w="1314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2018年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成交总额</w:t>
            </w:r>
          </w:p>
        </w:tc>
        <w:tc>
          <w:tcPr>
            <w:tcW w:w="1380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占成交总额比例（%）</w:t>
            </w:r>
          </w:p>
        </w:tc>
        <w:tc>
          <w:tcPr>
            <w:tcW w:w="1160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同比增长率（%）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97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14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9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合  计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1399816.73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100.00 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1518476.53 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100.00 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-7.81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9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房地产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226167.14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16.16 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156871.01 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10.33 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44.17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9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土地使用权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857845.17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61.28 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1078723.74 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71.04 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-20.48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9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机动车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36567.40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2.61 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9843.40 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0.65 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271.49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9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农副产品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6643.26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0.47 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6386.64 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0.42 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4.02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9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股权、债权、产权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72404.79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5.17 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174620.94 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11.50 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-58.54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9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无形资产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21613.51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1.54 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5308.25 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0.35 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307.17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9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文物艺术品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7028.93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0.50 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1281.36 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0.08 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448.55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978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其他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171546.54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12.25 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85441.19 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5.63 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100.78 </w:t>
            </w:r>
          </w:p>
        </w:tc>
      </w:tr>
    </w:tbl>
    <w:p>
      <w:pPr>
        <w:spacing w:line="540" w:lineRule="exact"/>
        <w:rPr>
          <w:rFonts w:hint="default" w:ascii="仿宋_GB2312" w:hAnsi="宋体" w:eastAsia="仿宋_GB2312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spacing w:line="540" w:lineRule="exact"/>
        <w:rPr>
          <w:rFonts w:hint="eastAsia" w:ascii="仿宋_GB2312" w:hAnsi="宋体" w:eastAsia="仿宋_GB2312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附件3：</w:t>
      </w:r>
    </w:p>
    <w:p>
      <w:pPr>
        <w:spacing w:line="540" w:lineRule="exact"/>
        <w:jc w:val="center"/>
        <w:rPr>
          <w:rFonts w:hint="eastAsia" w:ascii="黑体" w:hAnsi="黑体" w:eastAsia="黑体" w:cs="黑体"/>
          <w:color w:val="000000" w:themeColor="text1"/>
          <w:sz w:val="36"/>
          <w:szCs w:val="36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6"/>
          <w:szCs w:val="36"/>
          <w:u w:val="none"/>
          <w:lang w:val="en-US" w:eastAsia="zh-CN"/>
          <w14:textFill>
            <w14:solidFill>
              <w14:schemeClr w14:val="tx1"/>
            </w14:solidFill>
          </w14:textFill>
        </w:rPr>
        <w:t>2019年全区拍卖业业绩情况表（按委托部门统计）</w:t>
      </w:r>
    </w:p>
    <w:p>
      <w:pPr>
        <w:spacing w:line="540" w:lineRule="exact"/>
        <w:jc w:val="right"/>
        <w:rPr>
          <w:rFonts w:hint="eastAsia" w:ascii="仿宋_GB2312" w:hAnsi="宋体" w:eastAsia="仿宋_GB2312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 w:cstheme="majorEastAsia"/>
          <w:color w:val="000000" w:themeColor="text1"/>
          <w:sz w:val="24"/>
          <w:szCs w:val="24"/>
          <w:u w:val="none"/>
          <w:lang w:val="en-US" w:eastAsia="zh-CN"/>
          <w14:textFill>
            <w14:solidFill>
              <w14:schemeClr w14:val="tx1"/>
            </w14:solidFill>
          </w14:textFill>
        </w:rPr>
        <w:t>单位：万元</w:t>
      </w:r>
    </w:p>
    <w:tbl>
      <w:tblPr>
        <w:tblStyle w:val="2"/>
        <w:tblW w:w="8887" w:type="dxa"/>
        <w:jc w:val="center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882"/>
        <w:gridCol w:w="1470"/>
        <w:gridCol w:w="1530"/>
        <w:gridCol w:w="1515"/>
        <w:gridCol w:w="1140"/>
        <w:gridCol w:w="135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88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委托部门</w:t>
            </w:r>
          </w:p>
        </w:tc>
        <w:tc>
          <w:tcPr>
            <w:tcW w:w="1470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2019年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成交总额</w:t>
            </w:r>
          </w:p>
        </w:tc>
        <w:tc>
          <w:tcPr>
            <w:tcW w:w="1530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占成交总额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比例（%）</w:t>
            </w:r>
          </w:p>
        </w:tc>
        <w:tc>
          <w:tcPr>
            <w:tcW w:w="1515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2018年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成交总额</w:t>
            </w:r>
          </w:p>
        </w:tc>
        <w:tc>
          <w:tcPr>
            <w:tcW w:w="1140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占成交总额比例（%）</w:t>
            </w:r>
          </w:p>
        </w:tc>
        <w:tc>
          <w:tcPr>
            <w:tcW w:w="1350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同比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增长率（%）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88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5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88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合计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1399816.73 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100.00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ajorEastAsia" w:hAnsiTheme="majorEastAsia" w:eastAsiaTheme="majorEastAsia" w:cstheme="majorEastAsia"/>
                <w:b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1518476.53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ajorEastAsia" w:hAnsiTheme="majorEastAsia" w:eastAsiaTheme="majorEastAsia" w:cstheme="majorEastAsia"/>
                <w:b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100.00 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ajorEastAsia" w:hAnsiTheme="majorEastAsia" w:eastAsiaTheme="majorEastAsia" w:cstheme="majorEastAsia"/>
                <w:b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-7.81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88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法院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115588.49 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8.26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59211.85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3.90 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95.21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88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政府部门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982884.96 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70.22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1036068.74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68.23 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-5.13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88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金融资产机构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54281.80 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3.88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258010.19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16.99 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-78.96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88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破产清算组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43749.41 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3.13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362.84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0.02 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11957.56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88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其他机构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181863.98 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12.99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143796.66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9.47 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26.47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882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个人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21448.09 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1.53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21026.25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1.38 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2.01 </w:t>
            </w:r>
          </w:p>
        </w:tc>
      </w:tr>
    </w:tbl>
    <w:p>
      <w:pPr>
        <w:spacing w:line="540" w:lineRule="exact"/>
        <w:rPr>
          <w:rFonts w:hint="default" w:ascii="仿宋_GB2312" w:hAnsi="宋体" w:eastAsia="仿宋_GB2312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spacing w:line="540" w:lineRule="exact"/>
        <w:rPr>
          <w:rFonts w:hint="eastAsia" w:ascii="仿宋_GB2312" w:hAnsi="宋体" w:eastAsia="仿宋_GB2312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附件4：</w:t>
      </w:r>
    </w:p>
    <w:p>
      <w:pPr>
        <w:spacing w:line="540" w:lineRule="exact"/>
        <w:jc w:val="center"/>
        <w:rPr>
          <w:rFonts w:hint="eastAsia" w:ascii="黑体" w:hAnsi="黑体" w:eastAsia="黑体" w:cs="黑体"/>
          <w:color w:val="000000" w:themeColor="text1"/>
          <w:sz w:val="36"/>
          <w:szCs w:val="36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6"/>
          <w:szCs w:val="36"/>
          <w:u w:val="none"/>
          <w:lang w:val="en-US" w:eastAsia="zh-CN"/>
          <w14:textFill>
            <w14:solidFill>
              <w14:schemeClr w14:val="tx1"/>
            </w14:solidFill>
          </w14:textFill>
        </w:rPr>
        <w:t>2019年全区拍卖佣金收取情况表（按标的统计）</w:t>
      </w:r>
    </w:p>
    <w:p>
      <w:pPr>
        <w:spacing w:line="540" w:lineRule="exact"/>
        <w:jc w:val="right"/>
        <w:rPr>
          <w:rFonts w:hint="eastAsia" w:ascii="仿宋_GB2312" w:hAnsi="宋体" w:eastAsia="仿宋_GB2312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 w:cstheme="majorEastAsia"/>
          <w:color w:val="000000" w:themeColor="text1"/>
          <w:sz w:val="24"/>
          <w:szCs w:val="24"/>
          <w:u w:val="none"/>
          <w:lang w:val="en-US" w:eastAsia="zh-CN"/>
          <w14:textFill>
            <w14:solidFill>
              <w14:schemeClr w14:val="tx1"/>
            </w14:solidFill>
          </w14:textFill>
        </w:rPr>
        <w:t>单位：万元</w:t>
      </w:r>
    </w:p>
    <w:tbl>
      <w:tblPr>
        <w:tblStyle w:val="2"/>
        <w:tblW w:w="9221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88"/>
        <w:gridCol w:w="1213"/>
        <w:gridCol w:w="1050"/>
        <w:gridCol w:w="1065"/>
        <w:gridCol w:w="1215"/>
        <w:gridCol w:w="1050"/>
        <w:gridCol w:w="855"/>
        <w:gridCol w:w="88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  <w:jc w:val="center"/>
        </w:trPr>
        <w:tc>
          <w:tcPr>
            <w:tcW w:w="1888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标  的</w:t>
            </w:r>
          </w:p>
        </w:tc>
        <w:tc>
          <w:tcPr>
            <w:tcW w:w="1213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2019年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成交额</w:t>
            </w:r>
          </w:p>
        </w:tc>
        <w:tc>
          <w:tcPr>
            <w:tcW w:w="105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2019年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佣金额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2019年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佣金收取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率（%）</w:t>
            </w:r>
          </w:p>
        </w:tc>
        <w:tc>
          <w:tcPr>
            <w:tcW w:w="121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2018年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成交额</w:t>
            </w:r>
          </w:p>
        </w:tc>
        <w:tc>
          <w:tcPr>
            <w:tcW w:w="105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2018年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佣金额</w:t>
            </w:r>
          </w:p>
        </w:tc>
        <w:tc>
          <w:tcPr>
            <w:tcW w:w="85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2018年佣金收取率（%）</w:t>
            </w:r>
          </w:p>
        </w:tc>
        <w:tc>
          <w:tcPr>
            <w:tcW w:w="88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同比佣金额增长率（%）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88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合  计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ajorEastAsia" w:hAnsiTheme="majorEastAsia" w:eastAsiaTheme="majorEastAsia" w:cstheme="majorEastAsia"/>
                <w:b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1399816.73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ajorEastAsia" w:hAnsiTheme="majorEastAsia" w:eastAsiaTheme="majorEastAsia" w:cstheme="majorEastAsia"/>
                <w:b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13107.31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ajorEastAsia" w:hAnsiTheme="majorEastAsia" w:eastAsiaTheme="majorEastAsia" w:cstheme="majorEastAsia"/>
                <w:b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0.94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ajorEastAsia" w:hAnsiTheme="majorEastAsia" w:eastAsiaTheme="majorEastAsia" w:cstheme="majorEastAsia"/>
                <w:b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1518476.53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ajorEastAsia" w:hAnsiTheme="majorEastAsia" w:eastAsiaTheme="majorEastAsia" w:cstheme="majorEastAsia"/>
                <w:b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16578.32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ajorEastAsia" w:hAnsiTheme="majorEastAsia" w:eastAsiaTheme="majorEastAsia" w:cstheme="majorEastAsia"/>
                <w:b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1.09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ajorEastAsia" w:hAnsiTheme="majorEastAsia" w:eastAsiaTheme="majorEastAsia" w:cstheme="majorEastAsia"/>
                <w:b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-14.24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88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房地产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226167.14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1995.06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0.88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156871.01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1780.85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1.14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-22.30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88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土地使用权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857845.17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6087.96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0.71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1078723.74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8949.97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0.83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-14.46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88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机动车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36567.40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436.21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1.19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9843.40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307.14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3.12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-61.77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88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农副产品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6643.26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73.66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1.11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6386.64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254.36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3.98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-72.16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88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股权、债权、产权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72404.79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1296.58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1.79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174620.94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2260.92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1.29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38.31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88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无形资产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21613.51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129.28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0.60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5308.25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295.66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5.57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-89.26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88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文物艺术品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7028.93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141.35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2.01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1281.36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48.72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3.80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-47.11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888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其他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171546.54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2947.22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1.72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85441.19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2680.70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3.14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-45.24 </w:t>
            </w:r>
          </w:p>
        </w:tc>
      </w:tr>
    </w:tbl>
    <w:p>
      <w:pPr>
        <w:spacing w:line="540" w:lineRule="exact"/>
        <w:rPr>
          <w:rFonts w:hint="default" w:ascii="仿宋_GB2312" w:hAnsi="宋体" w:eastAsia="仿宋_GB2312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spacing w:line="540" w:lineRule="exact"/>
        <w:rPr>
          <w:rFonts w:hint="eastAsia" w:ascii="仿宋_GB2312" w:hAnsi="宋体" w:eastAsia="仿宋_GB2312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附件5：</w:t>
      </w:r>
    </w:p>
    <w:p>
      <w:pPr>
        <w:spacing w:line="540" w:lineRule="exact"/>
        <w:jc w:val="center"/>
        <w:rPr>
          <w:rFonts w:hint="eastAsia" w:ascii="黑体" w:hAnsi="黑体" w:eastAsia="黑体" w:cs="黑体"/>
          <w:color w:val="000000" w:themeColor="text1"/>
          <w:sz w:val="36"/>
          <w:szCs w:val="36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6"/>
          <w:szCs w:val="36"/>
          <w:u w:val="none"/>
          <w:lang w:val="en-US" w:eastAsia="zh-CN"/>
          <w14:textFill>
            <w14:solidFill>
              <w14:schemeClr w14:val="tx1"/>
            </w14:solidFill>
          </w14:textFill>
        </w:rPr>
        <w:t>2019年全区拍卖佣金收取情况表（按委托部门统计）</w:t>
      </w:r>
    </w:p>
    <w:p>
      <w:pPr>
        <w:spacing w:line="540" w:lineRule="exact"/>
        <w:jc w:val="right"/>
        <w:rPr>
          <w:rFonts w:hint="eastAsia" w:ascii="仿宋_GB2312" w:hAnsi="宋体" w:eastAsia="仿宋_GB2312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 w:cstheme="majorEastAsia"/>
          <w:color w:val="000000" w:themeColor="text1"/>
          <w:sz w:val="24"/>
          <w:szCs w:val="24"/>
          <w:u w:val="none"/>
          <w:lang w:val="en-US" w:eastAsia="zh-CN"/>
          <w14:textFill>
            <w14:solidFill>
              <w14:schemeClr w14:val="tx1"/>
            </w14:solidFill>
          </w14:textFill>
        </w:rPr>
        <w:t>单位：万元</w:t>
      </w:r>
    </w:p>
    <w:tbl>
      <w:tblPr>
        <w:tblStyle w:val="2"/>
        <w:tblW w:w="9313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80"/>
        <w:gridCol w:w="1303"/>
        <w:gridCol w:w="1125"/>
        <w:gridCol w:w="1020"/>
        <w:gridCol w:w="1305"/>
        <w:gridCol w:w="1065"/>
        <w:gridCol w:w="1095"/>
        <w:gridCol w:w="102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  <w:jc w:val="center"/>
        </w:trPr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委托部门</w:t>
            </w:r>
          </w:p>
        </w:tc>
        <w:tc>
          <w:tcPr>
            <w:tcW w:w="1303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2019年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成交额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2019年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佣金额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2019年佣金收取率（%）</w:t>
            </w:r>
          </w:p>
        </w:tc>
        <w:tc>
          <w:tcPr>
            <w:tcW w:w="130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2018年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成交额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2018年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佣金额</w:t>
            </w:r>
          </w:p>
        </w:tc>
        <w:tc>
          <w:tcPr>
            <w:tcW w:w="109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2018年佣金收取率（%）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同比佣金额增长率（%）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138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合计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1399816.73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13107.31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0.94 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1518476.53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16578.32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1.09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-14.24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138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法院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115588.49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1121.37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0.97 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59211.85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531.70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0.90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8.04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138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政府部门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982884.96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8509.91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0.87 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1036068.74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10325.63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1.00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-13.13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138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金融资产机构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54281.80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704.19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1.30 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258010.19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3211.03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1.24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4.24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138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破产清算组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43749.41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491.80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1.12 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362.84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14.03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3.87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-70.94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138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其他机构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181863.98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1962.26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1.08 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143796.66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1848.58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1.29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-16.07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1380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个人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21448.09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317.78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1.48 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21026.25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647.35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3.08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-51.88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A824E1"/>
    <w:rsid w:val="61A824E1"/>
    <w:rsid w:val="74761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2020-03-02T08:22:00Z</dcterms:created>
  <dc:creator>国强</dc:creator>
  <cp:lastModifiedBy>国强</cp:lastModifiedBy>
  <dcterms:modified xsi:type="dcterms:W3CDTF">2020-03-02T08:23:54Z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