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tabs>
          <w:tab w:val="left" w:pos="1150"/>
        </w:tabs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/>
          <w14:textFill>
            <w14:solidFill>
              <w14:schemeClr w14:val="tx1"/>
            </w14:solidFill>
          </w14:textFill>
        </w:rPr>
        <w:t>拍卖企业年检不合格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346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广西海歌拍卖有限责任公司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《营业执照》与《拍卖经营许可证》法人不一致，不参与年检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广西恒泰拍卖有限责任公司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《营业执照》与《拍卖经营许可证》住所不一致，不参与年检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广西正德拍卖有限公司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《营业执照》与《拍卖经营许可证》住所不一致、无拍卖师，</w:t>
            </w:r>
          </w:p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广西元良拍卖有限公司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无拍卖师，年检不合格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广西开拓拍卖有限公司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无拍卖师，年检不合格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广西铭拍拍卖有限公司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无拍卖师，年检不合格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广西泓润拍卖有限责任公司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无拍卖师，年检不合格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广西金衡拍卖有限责任公司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无拍卖师，年检不合格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广西北海达同拍卖有限公司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无拍卖师，年检不合格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广西磊晶鑫拍卖有限公司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无拍卖师，年检不合格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广西华尔佳拍卖有限责任公司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广西诚杰拍卖有限责任公司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广西瀚业拍卖有限公司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广西鼎槌拍卖有限公司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柳州畅达拍卖有限公司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广西铭诚拍卖有限公司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柳州市定音拍卖有限公司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广西巨锤拍卖有限公司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广西衡钰拍卖有限公司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柳州市潮信拍卖有限公司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广西霸瀚拍卖有限公司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广西鑫邦拍卖有限公司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广西诺卡拍卖有限公司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广西汇丰拍卖有限责任公司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广西融强拍卖有限公司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广西百亿拍卖有限责任公司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未交年检材料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，年检不合格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346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both"/>
              <w:rPr>
                <w:rFonts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广西盈通拍卖有限公司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60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未交年检材料，年检不合格</w:t>
            </w:r>
          </w:p>
        </w:tc>
      </w:tr>
    </w:tbl>
    <w:p>
      <w:pPr>
        <w:rPr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6032"/>
    <w:rsid w:val="2C63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2021-08-03T08:56:00Z</dcterms:created>
  <dc:creator>国强</dc:creator>
  <cp:lastModifiedBy>国强</cp:lastModifiedBy>
  <dcterms:modified xsi:type="dcterms:W3CDTF">2021-08-03T08:58:07Z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28D22718C9B04A43ABE9749EF0E668BF</vt:lpwstr>
  </property>
</Properties>
</file>