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年全区拍卖业业绩情况表（按地区统计）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单位：万元</w:t>
      </w:r>
    </w:p>
    <w:tbl>
      <w:tblPr>
        <w:tblStyle w:val="5"/>
        <w:tblW w:w="91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73"/>
        <w:gridCol w:w="1485"/>
        <w:gridCol w:w="1545"/>
        <w:gridCol w:w="156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地  区</w:t>
            </w: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2023年成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交总额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占成交总额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比例（%）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2022年成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交总额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占成交总额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比例（%）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同比增长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广西区自治区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1046305.50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630748.91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600766.21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37451.47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82973.36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110997.18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161631.75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15.40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73647.86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35369.97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21556.55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27439.03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45098.27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4.31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1173.49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3743.10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25390.58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16333.81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14015.64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46511.09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68688.70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33669.16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6145.83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29881.89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10848.59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11487.19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1080.00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635.91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2052.91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11.62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年全区拍卖业业绩情况表（按标的统计）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单位：万元</w:t>
      </w:r>
    </w:p>
    <w:tbl>
      <w:tblPr>
        <w:tblStyle w:val="5"/>
        <w:tblW w:w="904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305"/>
        <w:gridCol w:w="1355"/>
        <w:gridCol w:w="1426"/>
        <w:gridCol w:w="133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标  的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成交总额</w:t>
            </w:r>
          </w:p>
        </w:tc>
        <w:tc>
          <w:tcPr>
            <w:tcW w:w="13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42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成交总额</w:t>
            </w:r>
          </w:p>
        </w:tc>
        <w:tc>
          <w:tcPr>
            <w:tcW w:w="13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59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1046305.5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1049331.49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127045.03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12.14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234465.32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22.34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293731.85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28.07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215271.22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20.52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8845.32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0.85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14044.43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2777.36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6518.83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157451.61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15.05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31335.98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26260.55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134765.67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12.84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215.20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430111.72 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41.11 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412714.84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39.33 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年全区拍卖业业绩情况表（按委托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部门</w:t>
      </w:r>
      <w:r>
        <w:rPr>
          <w:rFonts w:hint="eastAsia" w:ascii="黑体" w:hAnsi="黑体" w:eastAsia="黑体" w:cs="黑体"/>
          <w:sz w:val="36"/>
          <w:szCs w:val="36"/>
        </w:rPr>
        <w:t>统计）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单位：万元</w:t>
      </w:r>
    </w:p>
    <w:tbl>
      <w:tblPr>
        <w:tblStyle w:val="5"/>
        <w:tblW w:w="88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15"/>
        <w:gridCol w:w="1425"/>
        <w:gridCol w:w="1442"/>
        <w:gridCol w:w="132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委托部门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成交总额</w:t>
            </w:r>
          </w:p>
        </w:tc>
        <w:tc>
          <w:tcPr>
            <w:tcW w:w="142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成交总额</w:t>
            </w:r>
          </w:p>
        </w:tc>
        <w:tc>
          <w:tcPr>
            <w:tcW w:w="13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占成交总额比例（%）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1046305.50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1049331.49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205894.84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19.68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140730.24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13.41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453565.87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475252.78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45.29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18391.85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15537.42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38281.52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70620.58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6.73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-45.79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316305.70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331944.30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31.63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13865.73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15246.18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-9.05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年全区拍卖佣金收取情况表（按标的统计）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单位：万元</w:t>
      </w:r>
    </w:p>
    <w:tbl>
      <w:tblPr>
        <w:tblStyle w:val="5"/>
        <w:tblW w:w="9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258"/>
        <w:gridCol w:w="1125"/>
        <w:gridCol w:w="1020"/>
        <w:gridCol w:w="1320"/>
        <w:gridCol w:w="1020"/>
        <w:gridCol w:w="102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标  的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2023年佣金收取率（%）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2022年佣金收取率（%）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同比佣金额增长率（%）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7" w:rightChars="-8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1046305.50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10590.16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1049331.49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9460.24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房地产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127045.03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853.65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0.67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234465.32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1860.89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土地使用权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293731.85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3527.67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215271.22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1902.92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机动车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8845.32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220.79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14044.43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700.25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农副产品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2777.36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83.46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6518.83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129.88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1.99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股权、债权、产权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157451.61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1267.42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31335.98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429.85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无形资产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26260.55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113.94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134765.67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561.43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文物艺术品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82.06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20.81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25.35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215.20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99.48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-45.16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430111.72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4502.41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412714.84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3775.54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14.43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年全区拍卖佣金收取情况表（按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委托部门</w:t>
      </w:r>
      <w:r>
        <w:rPr>
          <w:rFonts w:hint="eastAsia" w:ascii="黑体" w:hAnsi="黑体" w:eastAsia="黑体" w:cs="黑体"/>
          <w:sz w:val="36"/>
          <w:szCs w:val="36"/>
        </w:rPr>
        <w:t>统计）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单位：万元</w:t>
      </w:r>
    </w:p>
    <w:tbl>
      <w:tblPr>
        <w:tblStyle w:val="5"/>
        <w:tblW w:w="95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380"/>
        <w:gridCol w:w="1157"/>
        <w:gridCol w:w="1020"/>
        <w:gridCol w:w="1440"/>
        <w:gridCol w:w="1095"/>
        <w:gridCol w:w="102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委托部门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2023年佣金收取率（%）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成交额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佣金额</w:t>
            </w:r>
          </w:p>
        </w:tc>
        <w:tc>
          <w:tcPr>
            <w:tcW w:w="10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2022年佣金收取率（%）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同比佣金额增长率（%）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1046305.50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10590.16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1049331.49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9460.24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205894.84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975.01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0.47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140730.24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508.70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0.36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政府部门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453565.87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4487.71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0.99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475252.78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3593.21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0.76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68" w:rightChars="-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金融资产机构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18391.85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289.11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1.57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15537.42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208.91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破产清算组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38281.52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423.08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1.11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70620.58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927.00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-15.81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其他机构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316305.70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3926.37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331944.30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3682.45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1.11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13865.73 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488.88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3.53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15246.18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539.96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3.54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-0.45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年全区拍卖企业经营情况汇总表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5"/>
        <w:tblW w:w="9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88"/>
        <w:gridCol w:w="1245"/>
        <w:gridCol w:w="1350"/>
        <w:gridCol w:w="100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拍卖成交额（万元）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拍卖场次（场）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7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321797.17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1046305.50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广西华盛拍卖有限公司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18076.68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广西正槌拍卖有限责任公司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18852.53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21255.96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广西百汇盛拍卖有公司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5940.81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6869.32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广西皓业拍卖有限公司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广西鼎泰拍卖有限公司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19295.33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32887.71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广西万泰拍卖有限公司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广西英达思拍卖有限公司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29530.67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46910.31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广西好拍德拍卖有限公司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广西金锤拍卖有限责任公司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广西公物拍卖行有限公司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广西南方拍卖有限责任公司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广西天锤拍卖有限公司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广西世隆拍卖有限公司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890.79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广西大西拍卖有限公司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广西万诚拍卖有限公司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4155.84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11135.06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广西融通拍卖有限责任公司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广西益德拍卖有限公司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广西邕华拍卖有限责任公司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广西兆城拍卖有限公司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广西天鸿拍卖有限责任公司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广西龙明拍卖有限责任公司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广西天衡拍卖行有限公司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广西佳益拍卖有限责任公司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广西诚信德拍卖有限公司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广西永锤拍卖有限责任公司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广西双赢拍卖有限公司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广西春生拍卖有限责任公司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广西四海拍卖有限公司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广西桂资拍卖有限公司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广西物资拍卖有限责任公司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20449.54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广西双维投资管理有限责任公司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广西明锤拍卖有限责任公司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广西利盛拍卖有限公司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19801.46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19828.96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广西万方拍卖有限公司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广西聚通拍卖有限公司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广西宏鑫拍卖有限公司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广西金汇拍卖有限公司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广西中则拍卖有限公司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广西万信拍卖有限公司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1924.8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广西金皇冠拍卖有限公司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广西亿锤拍卖有限公司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2465.99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24139.11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广西亿泰拍卖有限公司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广西顺铭拍卖有限公司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5559.85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广西精诚拍卖有限责任公司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广西比干拍卖有限公司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广西浩凯拍卖有限公司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广西九鼎拍卖有限公司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广西企赫拍卖有限责任公司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4993.62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15555.94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广西中盟拍卖有限公司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731.72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广西言信拍卖有限公司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1334.16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7785.56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广西正又今拍卖有限公司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广西宏琦昌拍卖有限公司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广西桂和拍卖有限责任公司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广西南伦拍卖有限公司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广西众鑫信拍卖有限公司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广西果宝拍卖有限责任公司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广西匡联拍卖有限公司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广西泰达拍卖有限公司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广西瀚宇拍卖有限公司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广西古今拍卖有限公司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广西方大拍卖有限公司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4538.56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广西正弘拍卖有限公司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19015.22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108882.04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广西腾丰拍卖有限公司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广西正信佳拍卖有限公司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广西中财拍卖有限公司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广西盈烨拍卖有限公司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广西容山容水拍卖有限责任公司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1185.77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广西大盛行拍卖有限责任公司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广西南宁融力禾拍卖有限公司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8044.86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广西国华拍卖有限责任公司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广西润财拍卖有限责任公司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广西恒兴拍卖有限责任公司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1574.29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3443.07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广西华之邦拍卖有限公司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广西圣锤拍卖有限公司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广西凯捷拍卖有限公司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3495.31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广西稻多拍卖有限公司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广西一槌定音拍卖有限公司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广西盛隆拍卖有限公司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14536.61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24238.49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广西南宁端德拍卖有限公司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广西南宁泛正拍卖有限公司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4099.52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广西和天下拍卖有限公司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南宁建和拍卖有限责任公司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南宁市点石拍卖有限责任公司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广西竞富德拍卖有限公司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广西鸿元拍卖有限公司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广西正誉拍卖有限公司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481.76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广西南宁东里欣拍卖有限责任公司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9262.03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广西南宁诚威拍卖有限公司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广西恒信拍卖有限公司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广西龙建拍卖有限公司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1863.03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13324.48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广西龙语欣拍卖有限公司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15055.01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广西实穗拍卖有限公司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广西正凯拍卖有限公 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广西桂锤拍卖有限公司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广西一统拍卖有限公司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广西振兴拍卖有限公司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广西德立信拍卖有限责任公司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广西胜达佳拍卖有限公司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广西迪信拍拍卖有限公司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广西通赢拍卖有限责任公司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1647.31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6302.23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广西旭禾拍卖有限责任公司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广西瑞芳拍卖有限公司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836.64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4299.67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广西旅发艺术拍卖有限公司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广西广钰投资咨询有限公司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万亨拍卖有限公司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广西同达拍卖有限责任公司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广西保全清算服务有限公司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广西中飞拍卖有限公司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广西诚信达保险公估有限公司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广西心广隆二手车有限公司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广西万田拍卖有限公司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广西泽达拍卖有限公司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广西易得胜拍卖有限公司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广西国创拍卖有限公司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广西元宇宙艺术有限公司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广西国藏数字科技有限公司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广西德源佳拍卖有限责任公司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广西亮驹拍卖有限公司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广西弘梦科技有限公司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广西德隆行拍卖有限公司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南宁朗宏商务服务有限公司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广西程潇企业管理咨询有限公司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广西深蓝梦图科技有限公司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广西瑞德拍卖有限公司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广西量权拍卖有限公司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广西雾壹数字科技有限公司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广西智链云科技有限公司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广西蓝天拍卖有限公司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广西宇谦网络科技有限公司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广西雅士得拍卖有限公司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广西万嘉拍卖有限公司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广西桂网供应链管理有限公司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深圳永昌商品拍卖有限公司南宁分公司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广东弘德益利拍卖有限公司南宁分公司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广西昌鼎拍卖有限责任公司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8972.13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19049.03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柳州市阳光拍卖行有限责任公司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4180.44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11179.15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广西嘉华拍卖有限公司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1607.88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广西德仁拍卖有限公司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475.25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广西缔德拍卖有限公司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广西涛银拍卖有限公司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广西阳升拍卖有限公司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广西石道拍卖有限公司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广西中南拍卖有限责任公司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广西恒成拍卖有限公司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广西开元拍卖有限责任公司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广西三和拍卖有限公司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广西臻利拍卖有限公司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广西惟信拍卖有限公司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柳州市三利拍卖有限责任公司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柳州市盛通拍卖行有限责任公司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柳州市成功公物拍卖有限责任公司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柳州市广元拍卖有限公司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柳州市鸿源拍卖有限公司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2675.1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广西墨润九洲拍卖有限公司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柳州万辉拍卖有限公司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广西墨雨轩拍卖有限公司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广西佳润拍卖有限公司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62610.4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广西三正国际拍卖有限公司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1309.19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1383.89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广西福瑞拍卖有限责任公司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广西鑫盛拍卖有限公司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3242.63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广西国槌拍卖有限公司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6775.49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广西丰裕国际拍卖有限公司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7584.36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10409.36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广西鹏瑞拍卖有限公司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广西桂林意大艺术品拍卖有限公司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桂林华泰拍卖有限公司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2216.86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桂林三顺拍卖有限责任公司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831.28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831.28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桂林市公物处理拍卖中心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桂林市天宇拍卖有限公司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广西宝地拍卖有限公司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19624.56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桂林众联泰拍卖有限公司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广西钲燚企业清算服务有限公司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广西东华拍卖有限责任公司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7976.15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52230.74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广西联合拍卖有限公司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691.13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9650.52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广西秦华拍卖有限责任公司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7091.06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11293.03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广西鹏誉拍卖有限公司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广西钰鼎拍卖有限责任公司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广西鼎航拍卖有限公司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广西梧州市宏沣拍卖有限公司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广西啟昊拍卖有限责任公司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广西北海地产拍卖行有限公司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1787.78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12729.81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广西精锤拍卖有限公司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广西佳业拍卖有限责任公司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525.07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广西龙辉拍卖有限公司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1000.52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广西平正拍卖有限责任公司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791.2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广西志威拍卖有限责任公司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广西鑫森拍卖有限公司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北海华展拍卖有限公司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760.62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北海市海城区嘉鑫拍卖有限责任公司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北海市乾正拍卖有限责任公司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北海市合浦拍卖有限责任公司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3138.3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广西永汉拍卖有限责任公司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北海一念拍卖有限公司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广西光华拍卖有限责任公司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广西桂昌拍卖有限责任公司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广西鸿盛拍卖有限公司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广西海纳拍卖有限公司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广西擎天拍卖有限公司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防城港恒利拍卖有限公司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防城港市和泰拍卖有限公司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36967.33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42079.5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防城港市鑫祥拍卖有限责任公司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防城港鋆河拍卖有限责任公司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992.73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钦州市拍卖行有限公司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3106.42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23828.73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广西德兴拍卖有限公司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广西鸿华拍卖有限公司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1290.27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广西钦正拍卖有限公司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广西泰荣拍卖有限公司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广西高明天诚拍卖有限公司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贵港市金正拍卖有限责任公司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贵港市金槌拍卖有限公司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3847.14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13692.55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广西鑫溢拍卖有限公司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广西玉林方证拍卖有限公司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广西玉林市佳盛拍卖有限责任公司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1692.54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4106.37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广西玉林市金顺拍卖有限公司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广西佳世得拍卖有限公司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广西银桥拍卖有限公司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6050.3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21076.55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玉林市金槌拍卖行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930.9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3391.06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玉林市铜州拍卖行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17609.89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27619.06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广西益元拍卖有限公司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广西金诚信拍卖有限公司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7426.49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lang w:val="en-US" w:eastAsia="zh-CN" w:bidi="ar"/>
              </w:rPr>
              <w:t>广西燊宇拍卖有限公司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lang w:val="en-US" w:eastAsia="zh-CN" w:bidi="ar"/>
              </w:rPr>
              <w:t>广西现代拍卖有限公司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广西华辉拍卖责任有限公司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广西建通拍卖有限责任公司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4796.05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广西润恒拍卖有限责任公司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百色隆鑫源拍卖有限公司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百色市拍卖中心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1349.78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广西兴德拍卖有限公司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广西钷翱拍卖有限责任公司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广西贺州嘉绩拍卖有限责任公司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5121.81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10848.59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lang w:val="en-US" w:eastAsia="zh-CN" w:bidi="ar"/>
              </w:rPr>
              <w:t>广西中圣拍卖有限公司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广西名扬拍卖有限公司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河池市拍卖中心有限公司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广西万峰拍卖有限公司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广西银鼎拍卖有限公司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广西铭兴拍卖有限公司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广西同之丰拍卖有限公司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635.91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decimal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16C523A0"/>
    <w:rsid w:val="017B73C1"/>
    <w:rsid w:val="01B77FDC"/>
    <w:rsid w:val="03600EDC"/>
    <w:rsid w:val="05397BEC"/>
    <w:rsid w:val="056326BB"/>
    <w:rsid w:val="05F416C3"/>
    <w:rsid w:val="066B0B3C"/>
    <w:rsid w:val="07981650"/>
    <w:rsid w:val="07E35D35"/>
    <w:rsid w:val="089B03BE"/>
    <w:rsid w:val="08AC4379"/>
    <w:rsid w:val="09E3201C"/>
    <w:rsid w:val="0AB67731"/>
    <w:rsid w:val="0B763970"/>
    <w:rsid w:val="0BEB0F40"/>
    <w:rsid w:val="0CBD27D9"/>
    <w:rsid w:val="0CD028AC"/>
    <w:rsid w:val="0EAC6E81"/>
    <w:rsid w:val="0F73174D"/>
    <w:rsid w:val="0F9D3E41"/>
    <w:rsid w:val="101E5B5C"/>
    <w:rsid w:val="11513D10"/>
    <w:rsid w:val="118B0B79"/>
    <w:rsid w:val="14416070"/>
    <w:rsid w:val="147478CA"/>
    <w:rsid w:val="14FB17A3"/>
    <w:rsid w:val="16C523A0"/>
    <w:rsid w:val="18DA283C"/>
    <w:rsid w:val="1B146AEA"/>
    <w:rsid w:val="1B4D4249"/>
    <w:rsid w:val="1B8D3B96"/>
    <w:rsid w:val="1C576B97"/>
    <w:rsid w:val="1DBD3335"/>
    <w:rsid w:val="1DD12460"/>
    <w:rsid w:val="1DE04FC4"/>
    <w:rsid w:val="1DEF0B38"/>
    <w:rsid w:val="1ED640A0"/>
    <w:rsid w:val="1F6E1F30"/>
    <w:rsid w:val="206F5F60"/>
    <w:rsid w:val="20D753FB"/>
    <w:rsid w:val="22CD5560"/>
    <w:rsid w:val="23FA3A52"/>
    <w:rsid w:val="266423A4"/>
    <w:rsid w:val="26C75981"/>
    <w:rsid w:val="27A504B9"/>
    <w:rsid w:val="28101DD7"/>
    <w:rsid w:val="284E28FF"/>
    <w:rsid w:val="285E4158"/>
    <w:rsid w:val="286541A3"/>
    <w:rsid w:val="293F4A10"/>
    <w:rsid w:val="29842A7C"/>
    <w:rsid w:val="2B870602"/>
    <w:rsid w:val="2C92725E"/>
    <w:rsid w:val="2CF6241F"/>
    <w:rsid w:val="2D9B0395"/>
    <w:rsid w:val="2EF20488"/>
    <w:rsid w:val="2F653B06"/>
    <w:rsid w:val="30727709"/>
    <w:rsid w:val="30D63033"/>
    <w:rsid w:val="335F6616"/>
    <w:rsid w:val="33644712"/>
    <w:rsid w:val="33890C8F"/>
    <w:rsid w:val="33D463AE"/>
    <w:rsid w:val="340D18C0"/>
    <w:rsid w:val="34AE6BFF"/>
    <w:rsid w:val="36274BE1"/>
    <w:rsid w:val="36AF6C5F"/>
    <w:rsid w:val="373F78ED"/>
    <w:rsid w:val="377F4883"/>
    <w:rsid w:val="387243E8"/>
    <w:rsid w:val="38746D19"/>
    <w:rsid w:val="38921C9E"/>
    <w:rsid w:val="38B60778"/>
    <w:rsid w:val="39610308"/>
    <w:rsid w:val="396B59BA"/>
    <w:rsid w:val="39716BF7"/>
    <w:rsid w:val="398A2D17"/>
    <w:rsid w:val="3C85293C"/>
    <w:rsid w:val="3C8D17F0"/>
    <w:rsid w:val="3D954E00"/>
    <w:rsid w:val="3E183853"/>
    <w:rsid w:val="3E1F5331"/>
    <w:rsid w:val="3EA6303D"/>
    <w:rsid w:val="3EBD41FB"/>
    <w:rsid w:val="3F514D57"/>
    <w:rsid w:val="42254279"/>
    <w:rsid w:val="42843DC0"/>
    <w:rsid w:val="43ED0DC6"/>
    <w:rsid w:val="45104875"/>
    <w:rsid w:val="47D47BDB"/>
    <w:rsid w:val="48E61610"/>
    <w:rsid w:val="4ABA40F8"/>
    <w:rsid w:val="4AC565F9"/>
    <w:rsid w:val="4B0B04B0"/>
    <w:rsid w:val="4C2C2250"/>
    <w:rsid w:val="4DBA440F"/>
    <w:rsid w:val="4F4E6379"/>
    <w:rsid w:val="506202F9"/>
    <w:rsid w:val="52455F5A"/>
    <w:rsid w:val="534F6332"/>
    <w:rsid w:val="540E5105"/>
    <w:rsid w:val="55180399"/>
    <w:rsid w:val="5544108E"/>
    <w:rsid w:val="562B40FC"/>
    <w:rsid w:val="57B17F9E"/>
    <w:rsid w:val="595379CD"/>
    <w:rsid w:val="596C2A61"/>
    <w:rsid w:val="597F79E5"/>
    <w:rsid w:val="5AA00798"/>
    <w:rsid w:val="5BA53759"/>
    <w:rsid w:val="5C9D16DC"/>
    <w:rsid w:val="5DEE162B"/>
    <w:rsid w:val="5E36363E"/>
    <w:rsid w:val="5E9D190F"/>
    <w:rsid w:val="60105576"/>
    <w:rsid w:val="615F2EAC"/>
    <w:rsid w:val="628A03FC"/>
    <w:rsid w:val="62C51160"/>
    <w:rsid w:val="642F3D6B"/>
    <w:rsid w:val="65B75534"/>
    <w:rsid w:val="684A23F5"/>
    <w:rsid w:val="69D34437"/>
    <w:rsid w:val="6B275BCB"/>
    <w:rsid w:val="6BC24763"/>
    <w:rsid w:val="6D3F3BE4"/>
    <w:rsid w:val="6EA47D16"/>
    <w:rsid w:val="6EC46886"/>
    <w:rsid w:val="6F1A6664"/>
    <w:rsid w:val="6FC53D14"/>
    <w:rsid w:val="70001CFE"/>
    <w:rsid w:val="72275B8A"/>
    <w:rsid w:val="72F94ADB"/>
    <w:rsid w:val="75DB0BA7"/>
    <w:rsid w:val="777A2C11"/>
    <w:rsid w:val="77E074F9"/>
    <w:rsid w:val="78E52CDF"/>
    <w:rsid w:val="7A0F3269"/>
    <w:rsid w:val="7A17211E"/>
    <w:rsid w:val="7A515E1A"/>
    <w:rsid w:val="7B914152"/>
    <w:rsid w:val="7C5825DA"/>
    <w:rsid w:val="7DD547CA"/>
    <w:rsid w:val="7EE051D4"/>
    <w:rsid w:val="7FAA7590"/>
    <w:rsid w:val="7FCC5758"/>
    <w:rsid w:val="7FE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autoRedefine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6"/>
    <w:uiPriority w:val="0"/>
    <w:rPr>
      <w:rFonts w:hint="eastAsia" w:ascii="新宋体" w:hAnsi="新宋体" w:eastAsia="新宋体" w:cs="新宋体"/>
      <w:color w:val="000000"/>
      <w:sz w:val="21"/>
      <w:szCs w:val="21"/>
      <w:u w:val="none"/>
    </w:rPr>
  </w:style>
  <w:style w:type="character" w:customStyle="1" w:styleId="11">
    <w:name w:val="font8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91"/>
    <w:basedOn w:val="6"/>
    <w:autoRedefine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  <w:style w:type="character" w:customStyle="1" w:styleId="13">
    <w:name w:val="font10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111"/>
    <w:basedOn w:val="6"/>
    <w:autoRedefine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  <w:style w:type="character" w:customStyle="1" w:styleId="15">
    <w:name w:val="font122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5642</Words>
  <Characters>8896</Characters>
  <Lines>0</Lines>
  <Paragraphs>0</Paragraphs>
  <TotalTime>1</TotalTime>
  <ScaleCrop>false</ScaleCrop>
  <LinksUpToDate>false</LinksUpToDate>
  <CharactersWithSpaces>9184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2023-02-01T01:44:00Z</dcterms:created>
  <dc:creator>WPS_1667438692</dc:creator>
  <cp:lastModifiedBy>国强</cp:lastModifiedBy>
  <cp:lastPrinted>2024-01-31T07:02:00Z</cp:lastPrinted>
  <dcterms:modified xsi:type="dcterms:W3CDTF">2024-01-31T07:45:01Z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FBCB420DA06A4CE1AB4E1D4D1F5DDD0C_13</vt:lpwstr>
  </property>
</Properties>
</file>